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6" w:hanging="1541" w:hangingChars="700"/>
        <w:outlineLvl w:val="0"/>
        <w:rPr>
          <w:rFonts w:ascii="Arial" w:hAnsi="Arial" w:cs="Arial"/>
          <w:b/>
          <w:bCs/>
          <w:sz w:val="22"/>
          <w:szCs w:val="22"/>
        </w:rPr>
      </w:pPr>
      <w:r>
        <w:rPr>
          <w:rFonts w:ascii="Arial" w:hAnsi="Arial" w:cs="Arial"/>
          <w:b/>
          <w:bCs/>
          <w:sz w:val="22"/>
          <w:szCs w:val="22"/>
        </w:rPr>
        <w:t>3GPP TSG RAN2 Meeting #12</w:t>
      </w:r>
      <w:r>
        <w:rPr>
          <w:rFonts w:hint="eastAsia" w:ascii="Arial" w:hAnsi="Arial" w:eastAsia="宋体" w:cs="Arial"/>
          <w:b/>
          <w:bCs/>
          <w:sz w:val="22"/>
          <w:szCs w:val="22"/>
          <w:lang w:val="en-US" w:eastAsia="zh-CN"/>
        </w:rPr>
        <w:t>7</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ascii="Arial" w:hAnsi="Arial" w:eastAsia="宋体" w:cs="Arial"/>
          <w:b/>
          <w:bCs/>
          <w:sz w:val="22"/>
          <w:szCs w:val="22"/>
        </w:rPr>
        <w:t>0</w:t>
      </w:r>
      <w:r>
        <w:rPr>
          <w:rFonts w:hint="eastAsia" w:ascii="Arial" w:hAnsi="Arial" w:eastAsia="宋体" w:cs="Arial"/>
          <w:b/>
          <w:bCs/>
          <w:sz w:val="22"/>
          <w:szCs w:val="22"/>
          <w:lang w:val="en-US" w:eastAsia="zh-CN"/>
        </w:rPr>
        <w:t>7436</w:t>
      </w:r>
      <w:r>
        <w:rPr>
          <w:rFonts w:ascii="Arial" w:hAnsi="Arial" w:cs="Arial"/>
          <w:b/>
          <w:bCs/>
          <w:sz w:val="22"/>
          <w:szCs w:val="22"/>
        </w:rPr>
        <w:t xml:space="preserve">                                                                                                                                                 </w:t>
      </w:r>
    </w:p>
    <w:p>
      <w:pPr>
        <w:spacing w:before="120" w:after="120"/>
        <w:ind w:left="1104" w:hanging="1104" w:hangingChars="500"/>
        <w:outlineLvl w:val="0"/>
        <w:rPr>
          <w:rFonts w:ascii="Arial" w:hAnsi="Arial" w:eastAsia="宋体" w:cs="Arial"/>
          <w:b/>
          <w:bCs/>
          <w:sz w:val="22"/>
          <w:szCs w:val="22"/>
        </w:rPr>
      </w:pPr>
      <w:r>
        <w:rPr>
          <w:rFonts w:ascii="Arial" w:hAnsi="Arial" w:eastAsia="宋体" w:cs="Arial"/>
          <w:b/>
          <w:bCs/>
          <w:sz w:val="22"/>
          <w:szCs w:val="22"/>
        </w:rPr>
        <w:t>Maastricht</w:t>
      </w:r>
      <w:r>
        <w:rPr>
          <w:rFonts w:ascii="Arial" w:hAnsi="Arial" w:cs="Arial"/>
          <w:b/>
          <w:bCs/>
          <w:sz w:val="22"/>
          <w:szCs w:val="22"/>
          <w:lang w:eastAsia="ja-JP"/>
        </w:rPr>
        <w:t xml:space="preserve">, </w:t>
      </w:r>
      <w:r>
        <w:rPr>
          <w:rFonts w:ascii="Arial" w:hAnsi="Arial" w:eastAsia="宋体" w:cs="Arial"/>
          <w:b/>
          <w:bCs/>
          <w:sz w:val="22"/>
          <w:szCs w:val="22"/>
        </w:rPr>
        <w:t>Netherlands</w:t>
      </w:r>
      <w:r>
        <w:rPr>
          <w:rFonts w:ascii="Arial" w:hAnsi="Arial" w:cs="Arial"/>
          <w:b/>
          <w:bCs/>
          <w:sz w:val="22"/>
          <w:szCs w:val="22"/>
          <w:lang w:eastAsia="ja-JP"/>
        </w:rPr>
        <w:t xml:space="preserve">, </w:t>
      </w:r>
      <w:r>
        <w:rPr>
          <w:rFonts w:hint="eastAsia" w:ascii="Arial" w:hAnsi="Arial" w:eastAsia="宋体" w:cs="Arial"/>
          <w:b/>
          <w:bCs/>
          <w:sz w:val="22"/>
          <w:szCs w:val="22"/>
        </w:rPr>
        <w:t>1</w:t>
      </w:r>
      <w:r>
        <w:rPr>
          <w:rFonts w:ascii="Arial" w:hAnsi="Arial" w:eastAsia="宋体" w:cs="Arial"/>
          <w:b/>
          <w:bCs/>
          <w:sz w:val="22"/>
          <w:szCs w:val="22"/>
        </w:rPr>
        <w:t>9</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w:t>
      </w:r>
      <w:r>
        <w:rPr>
          <w:rFonts w:ascii="Arial" w:hAnsi="Arial" w:eastAsia="宋体" w:cs="Arial"/>
          <w:b/>
          <w:bCs/>
          <w:sz w:val="22"/>
          <w:szCs w:val="22"/>
        </w:rPr>
        <w:t>23</w:t>
      </w:r>
      <w:r>
        <w:rPr>
          <w:rFonts w:hint="eastAsia" w:ascii="Arial" w:hAnsi="Arial" w:eastAsia="宋体" w:cs="Arial"/>
          <w:b/>
          <w:bCs/>
          <w:sz w:val="22"/>
          <w:szCs w:val="22"/>
          <w:vertAlign w:val="superscript"/>
        </w:rPr>
        <w:t>th</w:t>
      </w:r>
      <w:r>
        <w:rPr>
          <w:rFonts w:hint="eastAsia" w:ascii="Arial" w:hAnsi="Arial" w:eastAsia="宋体" w:cs="Arial"/>
          <w:b/>
          <w:bCs/>
          <w:sz w:val="22"/>
          <w:szCs w:val="22"/>
        </w:rPr>
        <w:t xml:space="preserve"> </w:t>
      </w:r>
      <w:r>
        <w:rPr>
          <w:rFonts w:ascii="Arial" w:hAnsi="Arial" w:eastAsia="宋体" w:cs="Arial"/>
          <w:b/>
          <w:bCs/>
          <w:sz w:val="22"/>
          <w:szCs w:val="22"/>
        </w:rPr>
        <w:t xml:space="preserve">Aug </w:t>
      </w:r>
      <w:bookmarkStart w:id="10" w:name="_GoBack"/>
      <w:bookmarkEnd w:id="10"/>
      <w:r>
        <w:rPr>
          <w:rFonts w:ascii="Arial" w:hAnsi="Arial" w:cs="Arial"/>
          <w:b/>
          <w:bCs/>
          <w:sz w:val="22"/>
          <w:szCs w:val="22"/>
          <w:lang w:eastAsia="ja-JP"/>
        </w:rPr>
        <w:t>, 202</w:t>
      </w:r>
      <w:r>
        <w:rPr>
          <w:rFonts w:hint="eastAsia" w:ascii="Arial" w:hAnsi="Arial" w:eastAsia="宋体" w:cs="Arial"/>
          <w:b/>
          <w:bCs/>
          <w:sz w:val="22"/>
          <w:szCs w:val="22"/>
        </w:rPr>
        <w:t>4</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8.1.3</w:t>
      </w:r>
    </w:p>
    <w:p>
      <w:pPr>
        <w:spacing w:before="120" w:after="120"/>
        <w:ind w:left="1985" w:hanging="1985"/>
        <w:rPr>
          <w:rFonts w:ascii="Arial" w:hAnsi="Arial" w:eastAsia="宋体" w:cs="Arial"/>
          <w:b/>
          <w:sz w:val="22"/>
          <w:szCs w:val="22"/>
        </w:rPr>
      </w:pPr>
      <w:r>
        <w:rPr>
          <w:rFonts w:ascii="Arial" w:hAnsi="Arial" w:cs="Arial"/>
          <w:b/>
          <w:sz w:val="22"/>
          <w:szCs w:val="22"/>
        </w:rPr>
        <w:t>Title:</w:t>
      </w:r>
      <w:r>
        <w:rPr>
          <w:rFonts w:ascii="Arial" w:hAnsi="Arial" w:cs="Arial"/>
          <w:b/>
          <w:sz w:val="22"/>
          <w:szCs w:val="22"/>
        </w:rPr>
        <w:tab/>
      </w:r>
      <w:r>
        <w:rPr>
          <w:rFonts w:ascii="Arial" w:hAnsi="Arial" w:eastAsia="宋体" w:cs="Arial"/>
          <w:b/>
          <w:sz w:val="22"/>
          <w:szCs w:val="22"/>
        </w:rPr>
        <w:t>C</w:t>
      </w:r>
      <w:r>
        <w:rPr>
          <w:rFonts w:hint="eastAsia" w:ascii="Arial" w:hAnsi="Arial" w:eastAsia="宋体" w:cs="Arial"/>
          <w:b/>
          <w:sz w:val="22"/>
          <w:szCs w:val="22"/>
        </w:rPr>
        <w:t>on</w:t>
      </w:r>
      <w:r>
        <w:rPr>
          <w:rFonts w:ascii="Arial" w:hAnsi="Arial" w:eastAsia="宋体" w:cs="Arial"/>
          <w:b/>
          <w:sz w:val="22"/>
          <w:szCs w:val="22"/>
        </w:rPr>
        <w:t>siderations</w:t>
      </w:r>
      <w:r>
        <w:rPr>
          <w:rFonts w:hint="eastAsia" w:ascii="Arial" w:hAnsi="Arial" w:eastAsia="宋体" w:cs="Arial"/>
          <w:b/>
          <w:sz w:val="22"/>
          <w:szCs w:val="22"/>
        </w:rPr>
        <w:t xml:space="preserve"> on NW side Data Collection for Model training</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eastAsiaTheme="minorEastAsia"/>
          <w:sz w:val="21"/>
          <w:szCs w:val="21"/>
        </w:rPr>
      </w:pPr>
      <w:r>
        <w:rPr>
          <w:rFonts w:eastAsiaTheme="minorEastAsia"/>
          <w:sz w:val="21"/>
          <w:szCs w:val="21"/>
        </w:rPr>
        <w:t>The following agreements regarding the NW side data collection are initially achieved in RAN2#12</w:t>
      </w:r>
      <w:r>
        <w:rPr>
          <w:rFonts w:hint="eastAsia" w:eastAsiaTheme="minorEastAsia"/>
          <w:sz w:val="21"/>
          <w:szCs w:val="21"/>
          <w:lang w:val="en-US" w:eastAsia="zh-CN"/>
        </w:rPr>
        <w:t>6</w:t>
      </w:r>
      <w:r>
        <w:rPr>
          <w:rFonts w:eastAsiaTheme="minorEastAsia"/>
          <w:sz w:val="21"/>
          <w:szCs w:val="21"/>
        </w:rPr>
        <w:t xml:space="preserve"> meeting:</w:t>
      </w:r>
    </w:p>
    <w:p>
      <w:pPr>
        <w:pStyle w:val="58"/>
        <w:pBdr>
          <w:top w:val="single" w:color="auto" w:sz="4" w:space="1"/>
          <w:left w:val="single" w:color="auto" w:sz="4" w:space="4"/>
          <w:bottom w:val="single" w:color="auto" w:sz="4" w:space="1"/>
          <w:right w:val="single" w:color="auto" w:sz="4" w:space="4"/>
        </w:pBdr>
        <w:ind w:left="0" w:leftChars="0"/>
        <w:rPr>
          <w:b/>
          <w:bCs/>
          <w:lang w:val="en-US"/>
        </w:rPr>
      </w:pPr>
      <w:r>
        <w:rPr>
          <w:b/>
          <w:bCs/>
          <w:lang w:val="en-US"/>
        </w:rPr>
        <w:t xml:space="preserve">Agreements for beam management </w:t>
      </w:r>
    </w:p>
    <w:p>
      <w:pPr>
        <w:pStyle w:val="58"/>
        <w:pBdr>
          <w:top w:val="single" w:color="auto" w:sz="4" w:space="1"/>
          <w:left w:val="single" w:color="auto" w:sz="4" w:space="4"/>
          <w:bottom w:val="single" w:color="auto" w:sz="4" w:space="1"/>
          <w:right w:val="single" w:color="auto" w:sz="4" w:space="4"/>
        </w:pBdr>
        <w:ind w:left="0" w:leftChars="0"/>
        <w:rPr>
          <w:lang w:val="en-US"/>
        </w:rPr>
      </w:pPr>
      <w:bookmarkStart w:id="0" w:name="OLE_LINK2"/>
      <w:r>
        <w:rPr>
          <w:lang w:val="en-US"/>
        </w:rPr>
        <w:t xml:space="preserve">1. </w:t>
      </w:r>
      <w:r>
        <w:rPr>
          <w:lang w:val="en-US"/>
        </w:rPr>
        <w:tab/>
      </w:r>
      <w:r>
        <w:rPr>
          <w:lang w:val="en-US"/>
        </w:rPr>
        <w:t xml:space="preserve">For gNB centric and OAM centric (for RRC signaling between UE and gNB), reporting multiple instances of logged L1 measurement result from UE to gNB via a RRC message as configured by gNB is an optional feature. </w:t>
      </w:r>
      <w:r>
        <w:rPr>
          <w:highlight w:val="green"/>
          <w:lang w:val="en-US"/>
        </w:rPr>
        <w:t xml:space="preserve"> FFS how to handle case when single RRC message is not sufficient.   </w:t>
      </w:r>
      <w:r>
        <w:rPr>
          <w:highlight w:val="none"/>
          <w:lang w:val="en-US"/>
        </w:rPr>
        <w:t xml:space="preserve">FFS if there will be any further enhancement needed pending RAN1 agreement.  </w:t>
      </w:r>
    </w:p>
    <w:bookmarkEnd w:id="0"/>
    <w:p>
      <w:pPr>
        <w:pStyle w:val="58"/>
        <w:pBdr>
          <w:top w:val="single" w:color="auto" w:sz="4" w:space="1"/>
          <w:left w:val="single" w:color="auto" w:sz="4" w:space="4"/>
          <w:bottom w:val="single" w:color="auto" w:sz="4" w:space="1"/>
          <w:right w:val="single" w:color="auto" w:sz="4" w:space="4"/>
        </w:pBdr>
        <w:ind w:left="0" w:leftChars="0"/>
        <w:rPr>
          <w:lang w:val="en-US"/>
        </w:rPr>
      </w:pPr>
      <w:r>
        <w:rPr>
          <w:lang w:val="en-US"/>
        </w:rPr>
        <w:t>2.</w:t>
      </w:r>
      <w:r>
        <w:rPr>
          <w:lang w:val="en-US"/>
        </w:rPr>
        <w:tab/>
      </w:r>
      <w:r>
        <w:rPr>
          <w:lang w:val="en-US"/>
        </w:rPr>
        <w:t>Immediate MDT is the baseline framework for OAM-centric data collection for the training of a network-sided model</w:t>
      </w:r>
    </w:p>
    <w:p>
      <w:pPr>
        <w:pStyle w:val="58"/>
        <w:pBdr>
          <w:top w:val="single" w:color="auto" w:sz="4" w:space="1"/>
          <w:left w:val="single" w:color="auto" w:sz="4" w:space="4"/>
          <w:bottom w:val="single" w:color="auto" w:sz="4" w:space="1"/>
          <w:right w:val="single" w:color="auto" w:sz="4" w:space="4"/>
        </w:pBdr>
        <w:ind w:left="0" w:leftChars="0"/>
        <w:rPr>
          <w:highlight w:val="green"/>
          <w:lang w:val="en-US"/>
        </w:rPr>
      </w:pPr>
      <w:r>
        <w:rPr>
          <w:lang w:val="en-US"/>
        </w:rPr>
        <w:t>3.</w:t>
      </w:r>
      <w:r>
        <w:rPr>
          <w:lang w:val="en-US"/>
        </w:rPr>
        <w:tab/>
      </w:r>
      <w:r>
        <w:rPr>
          <w:lang w:val="en-US"/>
        </w:rPr>
        <w:t xml:space="preserve">Enhance the immediate MDT framework to support periodical reporting. </w:t>
      </w:r>
      <w:r>
        <w:rPr>
          <w:highlight w:val="green"/>
          <w:lang w:val="en-US"/>
        </w:rPr>
        <w:t>FFS whether and what event-based reporting is supported and FFS on network request reporting</w:t>
      </w:r>
    </w:p>
    <w:p>
      <w:pPr>
        <w:spacing w:before="120" w:after="120"/>
        <w:rPr>
          <w:rFonts w:eastAsiaTheme="minorEastAsia"/>
          <w:sz w:val="21"/>
          <w:szCs w:val="21"/>
        </w:rPr>
      </w:pPr>
      <w:r>
        <w:rPr>
          <w:rFonts w:hint="eastAsia" w:eastAsiaTheme="minorEastAsia"/>
          <w:sz w:val="21"/>
          <w:szCs w:val="21"/>
        </w:rPr>
        <w:t>A</w:t>
      </w:r>
      <w:r>
        <w:rPr>
          <w:rFonts w:eastAsiaTheme="minorEastAsia"/>
          <w:sz w:val="21"/>
          <w:szCs w:val="21"/>
        </w:rPr>
        <w:t>mong those agreements, the basic direction has been settled</w:t>
      </w:r>
      <w:r>
        <w:rPr>
          <w:rFonts w:hint="eastAsia" w:eastAsiaTheme="minorEastAsia"/>
          <w:sz w:val="21"/>
          <w:szCs w:val="21"/>
          <w:lang w:val="en-US" w:eastAsia="zh-CN"/>
        </w:rPr>
        <w:t xml:space="preserve"> down</w:t>
      </w:r>
      <w:r>
        <w:rPr>
          <w:rFonts w:eastAsiaTheme="minorEastAsia"/>
          <w:sz w:val="21"/>
          <w:szCs w:val="21"/>
        </w:rPr>
        <w:t>, then the framework and the requirement of the framework need to be determined in the further RAN2 discussion. The intent</w:t>
      </w:r>
      <w:r>
        <w:rPr>
          <w:rFonts w:hint="eastAsia" w:eastAsiaTheme="minorEastAsia"/>
          <w:sz w:val="21"/>
          <w:szCs w:val="21"/>
          <w:lang w:val="en-US" w:eastAsia="zh-CN"/>
        </w:rPr>
        <w:t>ion</w:t>
      </w:r>
      <w:r>
        <w:rPr>
          <w:rFonts w:eastAsiaTheme="minorEastAsia"/>
          <w:sz w:val="21"/>
          <w:szCs w:val="21"/>
        </w:rPr>
        <w:t xml:space="preserve"> of this contribution is to share our views on the framework on NW side data collection and the requirement for the framework design.</w:t>
      </w:r>
    </w:p>
    <w:p>
      <w:pPr>
        <w:pStyle w:val="2"/>
        <w:spacing w:before="72" w:beforeLines="30" w:after="72" w:afterLines="30" w:line="288" w:lineRule="auto"/>
      </w:pPr>
      <w:r>
        <w:t>Discussion</w:t>
      </w:r>
      <w:r>
        <w:rPr>
          <w:rFonts w:eastAsiaTheme="minorEastAsia"/>
        </w:rPr>
        <w:t xml:space="preserve"> </w:t>
      </w:r>
      <w:bookmarkStart w:id="1" w:name="_Toc156129771"/>
    </w:p>
    <w:bookmarkEnd w:id="1"/>
    <w:p>
      <w:pPr>
        <w:pStyle w:val="3"/>
      </w:pPr>
      <w:r>
        <w:rPr>
          <w:rFonts w:hint="eastAsia"/>
          <w:lang w:val="en-US" w:eastAsia="zh-CN"/>
        </w:rPr>
        <w:t>General Framework</w:t>
      </w:r>
    </w:p>
    <w:p>
      <w:pPr>
        <w:spacing w:before="120" w:after="120"/>
        <w:rPr>
          <w:rFonts w:hint="eastAsia" w:eastAsiaTheme="minorEastAsia"/>
          <w:i/>
          <w:iCs/>
          <w:lang w:val="en-US" w:eastAsia="zh-CN"/>
        </w:rPr>
      </w:pPr>
      <w:r>
        <w:rPr>
          <w:rFonts w:hint="eastAsia" w:eastAsiaTheme="minorEastAsia"/>
          <w:lang w:val="en-US" w:eastAsia="zh-CN"/>
        </w:rPr>
        <w:t>In RAN2#126 meeting, it has been agreed that the immediate MDT would be a baseline framework for OAM-centric data collection for the training a network sided model for the beam management, which means the L1 measurement result is the target of the data collection. However, as we all know, the current immediate MDT is working based on the current Layer 3 measurement framework, that is, the measurement configuration for immediate MDT is based on the</w:t>
      </w:r>
      <w:r>
        <w:rPr>
          <w:rFonts w:hint="eastAsia" w:eastAsiaTheme="minorEastAsia"/>
          <w:i/>
          <w:iCs/>
          <w:lang w:val="en-US" w:eastAsia="zh-CN"/>
        </w:rPr>
        <w:t xml:space="preserve"> MeasureObject</w:t>
      </w:r>
      <w:r>
        <w:rPr>
          <w:rFonts w:hint="eastAsia" w:eastAsiaTheme="minorEastAsia"/>
          <w:lang w:val="en-US" w:eastAsia="zh-CN"/>
        </w:rPr>
        <w:t xml:space="preserve">, and the corresponding report configuration is based on the </w:t>
      </w:r>
      <w:r>
        <w:rPr>
          <w:rFonts w:hint="eastAsia" w:eastAsiaTheme="minorEastAsia"/>
          <w:i/>
          <w:iCs/>
          <w:lang w:val="en-US" w:eastAsia="zh-CN"/>
        </w:rPr>
        <w:t xml:space="preserve">ReportConfig. </w:t>
      </w:r>
    </w:p>
    <w:p>
      <w:pPr>
        <w:pStyle w:val="32"/>
        <w:bidi w:val="0"/>
      </w:pPr>
      <w:r>
        <w:rPr>
          <w:rFonts w:hint="eastAsia"/>
          <w:lang w:val="en-US" w:eastAsia="zh-CN"/>
        </w:rPr>
        <w:t xml:space="preserve">The target of data collection for the case of beam management is L1 measurement result, but the current Immediate MDT which is a baseline framework for OAM centric data collection is working based on the RRM measurement framework which is used for L3 measurement. </w:t>
      </w:r>
    </w:p>
    <w:p>
      <w:pPr>
        <w:spacing w:before="120" w:after="120"/>
        <w:rPr>
          <w:rFonts w:hint="default" w:eastAsiaTheme="minorEastAsia"/>
          <w:lang w:val="en-US" w:eastAsia="zh-CN"/>
        </w:rPr>
      </w:pPr>
      <w:r>
        <w:rPr>
          <w:rFonts w:hint="eastAsia" w:eastAsiaTheme="minorEastAsia"/>
          <w:i w:val="0"/>
          <w:iCs w:val="0"/>
          <w:lang w:val="en-US" w:eastAsia="zh-CN"/>
        </w:rPr>
        <w:t>In this sense, the OAM centric data collection for beam management have two choices about the way forward:</w:t>
      </w:r>
    </w:p>
    <w:p>
      <w:pPr>
        <w:numPr>
          <w:ilvl w:val="0"/>
          <w:numId w:val="12"/>
        </w:numPr>
        <w:spacing w:before="120" w:after="120"/>
        <w:ind w:left="420" w:leftChars="0" w:hanging="420" w:firstLineChars="0"/>
        <w:rPr>
          <w:rFonts w:hint="eastAsia" w:eastAsiaTheme="minorEastAsia"/>
          <w:lang w:val="en-US" w:eastAsia="zh-CN"/>
        </w:rPr>
      </w:pPr>
      <w:r>
        <w:rPr>
          <w:rFonts w:hint="eastAsia" w:eastAsiaTheme="minorEastAsia"/>
          <w:lang w:val="en-US" w:eastAsia="zh-CN"/>
        </w:rPr>
        <w:t>Approach 1: based on L1 measurement framework (e.g. CSI framework)</w:t>
      </w:r>
    </w:p>
    <w:p>
      <w:pPr>
        <w:numPr>
          <w:ilvl w:val="0"/>
          <w:numId w:val="12"/>
        </w:numPr>
        <w:spacing w:before="120" w:after="120"/>
        <w:ind w:left="420" w:leftChars="0" w:hanging="420" w:firstLineChars="0"/>
        <w:rPr>
          <w:rFonts w:hint="default" w:eastAsiaTheme="minorEastAsia"/>
          <w:lang w:val="en-US" w:eastAsia="zh-CN"/>
        </w:rPr>
      </w:pPr>
      <w:r>
        <w:rPr>
          <w:rFonts w:hint="eastAsia" w:eastAsiaTheme="minorEastAsia"/>
          <w:lang w:val="en-US" w:eastAsia="zh-CN"/>
        </w:rPr>
        <w:t>Approach 2: based on L3 measurement framework (e.g. RRM measurement)</w:t>
      </w:r>
    </w:p>
    <w:p>
      <w:pPr>
        <w:spacing w:before="120" w:after="120"/>
        <w:rPr>
          <w:rFonts w:hint="eastAsia" w:eastAsiaTheme="minorEastAsia"/>
          <w:i w:val="0"/>
          <w:iCs w:val="0"/>
          <w:lang w:val="en-US" w:eastAsia="zh-CN"/>
        </w:rPr>
      </w:pPr>
      <w:r>
        <w:rPr>
          <w:rFonts w:hint="eastAsia" w:eastAsiaTheme="minorEastAsia"/>
          <w:lang w:val="en-US" w:eastAsia="zh-CN"/>
        </w:rPr>
        <w:t xml:space="preserve">In approach 1, the measurement resources of the OAM centric data collection configuration is configured by the </w:t>
      </w:r>
      <w:r>
        <w:rPr>
          <w:rFonts w:hint="eastAsia" w:eastAsiaTheme="minorEastAsia"/>
          <w:i/>
          <w:iCs/>
          <w:lang w:val="en-US" w:eastAsia="zh-CN"/>
        </w:rPr>
        <w:t xml:space="preserve">nzp-CSI-RS-Resource </w:t>
      </w:r>
      <w:r>
        <w:rPr>
          <w:rFonts w:hint="eastAsia" w:eastAsiaTheme="minorEastAsia"/>
          <w:i w:val="0"/>
          <w:iCs w:val="0"/>
          <w:lang w:val="en-US" w:eastAsia="zh-CN"/>
        </w:rPr>
        <w:t xml:space="preserve">or </w:t>
      </w:r>
      <w:r>
        <w:rPr>
          <w:rFonts w:hint="eastAsia" w:eastAsiaTheme="minorEastAsia"/>
          <w:i/>
          <w:iCs/>
          <w:lang w:val="en-US" w:eastAsia="zh-CN"/>
        </w:rPr>
        <w:t xml:space="preserve">nzp-CSI-RS-Resourceset, </w:t>
      </w:r>
      <w:r>
        <w:rPr>
          <w:rFonts w:hint="eastAsia" w:eastAsiaTheme="minorEastAsia"/>
          <w:i w:val="0"/>
          <w:iCs w:val="0"/>
          <w:lang w:val="en-US" w:eastAsia="zh-CN"/>
        </w:rPr>
        <w:t xml:space="preserve">and the contents of the report and reporting resources of the OAM centric data collection configuration is configured by the </w:t>
      </w:r>
      <w:r>
        <w:rPr>
          <w:rFonts w:hint="eastAsia" w:eastAsiaTheme="minorEastAsia"/>
          <w:i/>
          <w:iCs/>
          <w:lang w:val="en-US" w:eastAsia="zh-CN"/>
        </w:rPr>
        <w:t xml:space="preserve">csi-ReportConfig. </w:t>
      </w:r>
    </w:p>
    <w:p>
      <w:pPr>
        <w:spacing w:before="120" w:after="120"/>
        <w:rPr>
          <w:rFonts w:hint="default" w:eastAsiaTheme="minorEastAsia"/>
          <w:i w:val="0"/>
          <w:iCs w:val="0"/>
          <w:lang w:val="en-US" w:eastAsia="zh-CN"/>
        </w:rPr>
      </w:pPr>
      <w:r>
        <w:rPr>
          <w:rFonts w:hint="eastAsia" w:eastAsiaTheme="minorEastAsia"/>
          <w:i w:val="0"/>
          <w:iCs w:val="0"/>
          <w:lang w:val="en-US" w:eastAsia="zh-CN"/>
        </w:rPr>
        <w:t xml:space="preserve">In approach 2, the measurement resources of the OMA centric data collection is configured by </w:t>
      </w:r>
      <w:r>
        <w:rPr>
          <w:rFonts w:hint="eastAsia" w:eastAsiaTheme="minorEastAsia"/>
          <w:i/>
          <w:iCs/>
          <w:lang w:val="en-US" w:eastAsia="zh-CN"/>
        </w:rPr>
        <w:t>MeasureOjectNR</w:t>
      </w:r>
      <w:r>
        <w:rPr>
          <w:rFonts w:hint="eastAsia" w:eastAsiaTheme="minorEastAsia"/>
          <w:i w:val="0"/>
          <w:iCs w:val="0"/>
          <w:lang w:val="en-US" w:eastAsia="zh-CN"/>
        </w:rPr>
        <w:t xml:space="preserve">, and report resource and content is configured by the </w:t>
      </w:r>
      <w:r>
        <w:rPr>
          <w:rFonts w:hint="eastAsia" w:eastAsiaTheme="minorEastAsia"/>
          <w:i/>
          <w:iCs/>
          <w:lang w:val="en-US" w:eastAsia="zh-CN"/>
        </w:rPr>
        <w:t xml:space="preserve">reportConfigNR. </w:t>
      </w:r>
    </w:p>
    <w:p>
      <w:pPr>
        <w:spacing w:before="120" w:after="120"/>
        <w:rPr>
          <w:rFonts w:hint="eastAsia" w:eastAsiaTheme="minorEastAsia"/>
          <w:i w:val="0"/>
          <w:iCs w:val="0"/>
          <w:lang w:val="en-US" w:eastAsia="zh-CN"/>
        </w:rPr>
      </w:pPr>
      <w:r>
        <w:rPr>
          <w:rFonts w:hint="eastAsia" w:eastAsiaTheme="minorEastAsia"/>
          <w:lang w:val="en-US" w:eastAsia="zh-CN"/>
        </w:rPr>
        <w:t xml:space="preserve">In general, both approaches can work. In approach 1, for supporting the OAM/gNB centric data collection for beam management, there should be two independent RS resource configurations and, correspondingly two independent report configurations in order to avoid the impacting on the current RRM measurement and report. In approach 2, there is no such concern as approach 1, we can allocate one or multiple couples of </w:t>
      </w:r>
      <w:r>
        <w:rPr>
          <w:rFonts w:hint="eastAsia" w:eastAsiaTheme="minorEastAsia"/>
          <w:i/>
          <w:iCs/>
          <w:lang w:val="en-US" w:eastAsia="zh-CN"/>
        </w:rPr>
        <w:t xml:space="preserve">nzp-CSI-RS-ResourceSet </w:t>
      </w:r>
      <w:r>
        <w:rPr>
          <w:rFonts w:hint="eastAsia" w:eastAsiaTheme="minorEastAsia"/>
          <w:i w:val="0"/>
          <w:iCs w:val="0"/>
          <w:lang w:val="en-US" w:eastAsia="zh-CN"/>
        </w:rPr>
        <w:t xml:space="preserve">and </w:t>
      </w:r>
      <w:bookmarkStart w:id="2" w:name="OLE_LINK1"/>
      <w:r>
        <w:rPr>
          <w:rFonts w:hint="eastAsia" w:eastAsiaTheme="minorEastAsia"/>
          <w:i/>
          <w:iCs/>
          <w:lang w:val="en-US" w:eastAsia="zh-CN"/>
        </w:rPr>
        <w:t>CSI-ReportConfig</w:t>
      </w:r>
      <w:bookmarkEnd w:id="2"/>
      <w:r>
        <w:rPr>
          <w:rFonts w:hint="eastAsia" w:eastAsiaTheme="minorEastAsia"/>
          <w:i w:val="0"/>
          <w:iCs w:val="0"/>
          <w:lang w:val="en-US" w:eastAsia="zh-CN"/>
        </w:rPr>
        <w:t xml:space="preserve"> for OAM/gNB centric data collection, however, the L1 measurement framework only allow the measurement result to be reported by using the L1 signaling which is to violate the agreement achieved in RAN2#126 meeting</w:t>
      </w:r>
    </w:p>
    <w:p>
      <w:pPr>
        <w:pStyle w:val="58"/>
        <w:pBdr>
          <w:top w:val="single" w:color="auto" w:sz="4" w:space="1"/>
          <w:left w:val="single" w:color="auto" w:sz="4" w:space="4"/>
          <w:bottom w:val="single" w:color="auto" w:sz="4" w:space="1"/>
          <w:right w:val="single" w:color="auto" w:sz="4" w:space="4"/>
        </w:pBdr>
        <w:rPr>
          <w:lang w:val="en-US"/>
        </w:rPr>
      </w:pPr>
      <w:r>
        <w:rPr>
          <w:lang w:val="en-US"/>
        </w:rPr>
        <w:t xml:space="preserve">1. </w:t>
      </w:r>
      <w:r>
        <w:rPr>
          <w:lang w:val="en-US"/>
        </w:rPr>
        <w:tab/>
      </w:r>
      <w:r>
        <w:rPr>
          <w:lang w:val="en-US"/>
        </w:rPr>
        <w:t xml:space="preserve">For gNB centric and OAM centric (for RRC signaling between UE and gNB), reporting multiple instances of logged L1 measurement result from UE to gNB </w:t>
      </w:r>
      <w:r>
        <w:rPr>
          <w:highlight w:val="green"/>
          <w:lang w:val="en-US"/>
        </w:rPr>
        <w:t>via a RRC message</w:t>
      </w:r>
      <w:r>
        <w:rPr>
          <w:lang w:val="en-US"/>
        </w:rPr>
        <w:t xml:space="preserve"> as configured by gNB is an optional feature. </w:t>
      </w:r>
      <w:r>
        <w:rPr>
          <w:highlight w:val="green"/>
          <w:lang w:val="en-US"/>
        </w:rPr>
        <w:t xml:space="preserve"> FFS how to handle case when single RRC message is not sufficient.   </w:t>
      </w:r>
      <w:r>
        <w:rPr>
          <w:highlight w:val="none"/>
          <w:lang w:val="en-US"/>
        </w:rPr>
        <w:t xml:space="preserve">FFS if there will be any further enhancement needed pending RAN1 agreement.  </w:t>
      </w:r>
    </w:p>
    <w:p>
      <w:pPr>
        <w:spacing w:before="120" w:after="120"/>
        <w:rPr>
          <w:rFonts w:hint="default" w:eastAsiaTheme="minorEastAsia"/>
          <w:i w:val="0"/>
          <w:iCs w:val="0"/>
          <w:lang w:val="en-US" w:eastAsia="zh-CN"/>
        </w:rPr>
      </w:pPr>
    </w:p>
    <w:p>
      <w:pPr>
        <w:pStyle w:val="30"/>
        <w:bidi w:val="0"/>
      </w:pPr>
      <w:bookmarkStart w:id="3" w:name="_Toc19942"/>
      <w:r>
        <w:rPr>
          <w:rFonts w:hint="eastAsia"/>
          <w:i w:val="0"/>
          <w:iCs w:val="0"/>
          <w:lang w:val="en-US" w:eastAsia="zh-CN"/>
        </w:rPr>
        <w:t xml:space="preserve">As similar as immediate MDT, The OAM/gNB Centric data collection for beam management is based on the L3 measurement framework (e.g. </w:t>
      </w:r>
      <w:r>
        <w:rPr>
          <w:rFonts w:hint="eastAsia"/>
          <w:i/>
          <w:iCs/>
          <w:lang w:val="en-US" w:eastAsia="zh-CN"/>
        </w:rPr>
        <w:t>MeasObjectNR</w:t>
      </w:r>
      <w:r>
        <w:rPr>
          <w:rFonts w:hint="eastAsia"/>
          <w:i w:val="0"/>
          <w:iCs w:val="0"/>
          <w:lang w:val="en-US" w:eastAsia="zh-CN"/>
        </w:rPr>
        <w:t xml:space="preserve"> and </w:t>
      </w:r>
      <w:r>
        <w:rPr>
          <w:rFonts w:hint="eastAsia"/>
          <w:i/>
          <w:iCs/>
          <w:lang w:val="en-US" w:eastAsia="zh-CN"/>
        </w:rPr>
        <w:t>reportConfigNR</w:t>
      </w:r>
      <w:r>
        <w:rPr>
          <w:rFonts w:hint="eastAsia"/>
          <w:i w:val="0"/>
          <w:iCs w:val="0"/>
          <w:lang w:val="en-US" w:eastAsia="zh-CN"/>
        </w:rPr>
        <w:t xml:space="preserve">), the RS resources for data collection are configured in the </w:t>
      </w:r>
      <w:r>
        <w:rPr>
          <w:rFonts w:hint="eastAsia"/>
          <w:i/>
          <w:iCs/>
          <w:lang w:val="en-US" w:eastAsia="zh-CN"/>
        </w:rPr>
        <w:t xml:space="preserve">MeasObjectNR, </w:t>
      </w:r>
      <w:r>
        <w:rPr>
          <w:rFonts w:hint="eastAsia"/>
          <w:i w:val="0"/>
          <w:iCs w:val="0"/>
          <w:lang w:val="en-US" w:eastAsia="zh-CN"/>
        </w:rPr>
        <w:t xml:space="preserve">and the report type and content are configured in the </w:t>
      </w:r>
      <w:r>
        <w:rPr>
          <w:rFonts w:hint="eastAsia"/>
          <w:i/>
          <w:iCs/>
          <w:lang w:val="en-US" w:eastAsia="zh-CN"/>
        </w:rPr>
        <w:t>reportConfigNR.</w:t>
      </w:r>
      <w:bookmarkEnd w:id="3"/>
    </w:p>
    <w:p>
      <w:pPr>
        <w:pStyle w:val="3"/>
        <w:bidi w:val="0"/>
        <w:rPr>
          <w:rFonts w:hint="default"/>
          <w:lang w:val="en-US"/>
        </w:rPr>
      </w:pPr>
      <w:r>
        <w:rPr>
          <w:rFonts w:hint="eastAsia"/>
          <w:lang w:val="en-US" w:eastAsia="zh-CN"/>
        </w:rPr>
        <w:t>Measurement Logging</w:t>
      </w:r>
    </w:p>
    <w:p>
      <w:pPr>
        <w:rPr>
          <w:rFonts w:hint="eastAsia"/>
          <w:lang w:val="en-US" w:eastAsia="zh-CN"/>
        </w:rPr>
      </w:pPr>
      <w:r>
        <w:rPr>
          <w:rFonts w:hint="eastAsia"/>
          <w:lang w:val="en-US" w:eastAsia="zh-CN"/>
        </w:rPr>
        <w:t>It has been agreed the data logging is supported for data collection as an optional feature, and the only difference between measurement logging for OAM/gNB centric data collection and logged MDT is RRC state, the measurement logging for data collection is performed in RRC_Connected while the measurement logging for logged MDT is performed in RRC_Idle or RRC_inactive state. For simplifying our discussion we can consider measurement logging method of logged MDT can be a baseline for our discussion on measurement logging for OAM/gNB centric data collection for beam management, and to see whether there is any extra enhancement is needed for the measurement logging in the RRC_Connected.</w:t>
      </w:r>
    </w:p>
    <w:p>
      <w:pPr>
        <w:pStyle w:val="32"/>
        <w:bidi w:val="0"/>
        <w:rPr>
          <w:rFonts w:hint="default"/>
          <w:lang w:val="en-US" w:eastAsia="zh-CN"/>
        </w:rPr>
      </w:pPr>
      <w:r>
        <w:rPr>
          <w:rFonts w:hint="eastAsia"/>
          <w:i/>
          <w:iCs/>
          <w:lang w:val="en-US" w:eastAsia="zh-CN"/>
        </w:rPr>
        <w:t>For measurement logging of OAM/gNB centric data collection, the only difference with the logged MDT is the measurement logging for data collection is performed in the RRC_Connected state while the measurement logging for logged MDT is performed in RRC_Idle and RRC_Inactive state. In this sense, the measurement logging mechanism of logged MDT can be the baseline for the measurement logging of NW side data collection.</w:t>
      </w:r>
    </w:p>
    <w:p>
      <w:pPr>
        <w:bidi w:val="0"/>
        <w:rPr>
          <w:rFonts w:hint="eastAsia"/>
          <w:lang w:val="en-US" w:eastAsia="zh-CN"/>
        </w:rPr>
      </w:pPr>
      <w:r>
        <w:rPr>
          <w:rFonts w:hint="eastAsia"/>
          <w:lang w:val="en-US" w:eastAsia="zh-CN"/>
        </w:rPr>
        <w:t>As similar as logged MDT, the measurement logging for OAM/gNB centric is started as long as the related measurement configuration is configured by the NW, and stopped when the related measurement configuration is released.</w:t>
      </w:r>
    </w:p>
    <w:p>
      <w:pPr>
        <w:pStyle w:val="30"/>
        <w:bidi w:val="0"/>
        <w:rPr>
          <w:rFonts w:hint="eastAsia"/>
          <w:lang w:val="en-US" w:eastAsia="zh-CN"/>
        </w:rPr>
      </w:pPr>
      <w:bookmarkStart w:id="4" w:name="_Toc6993"/>
      <w:r>
        <w:rPr>
          <w:rFonts w:hint="eastAsia"/>
          <w:i w:val="0"/>
          <w:iCs w:val="0"/>
          <w:lang w:val="en-US" w:eastAsia="zh-CN"/>
        </w:rPr>
        <w:t>For OAM/gNB centric data collection for beam management, the measurement logging at UE side is started upon the receiving of the measurement configuration from NW, and stopped upon the release of the measurement configuration.</w:t>
      </w:r>
      <w:bookmarkEnd w:id="4"/>
    </w:p>
    <w:p>
      <w:pPr>
        <w:rPr>
          <w:rFonts w:hint="eastAsia"/>
          <w:lang w:val="en-US" w:eastAsia="zh-CN"/>
        </w:rPr>
      </w:pPr>
      <w:r>
        <w:rPr>
          <w:rFonts w:hint="eastAsia"/>
          <w:lang w:val="en-US" w:eastAsia="zh-CN"/>
        </w:rPr>
        <w:t>In the logged MDT, there is a timer to regulate the measurement logging duration (e.g. T330), this is because measurement logging for logged MDT is performed RRC_Idle and RRC_inactive, NW cannot freely to release the measurement configuration to stop the measurement logging, but there is no such concern for the measurement logging in RRC_Connected state, the NW can stop the measurement logging by releasing the measurement configuration anytime. In this sense, there is no regular timer is needed for the measurement logging for the OAM/gNB centric data collection.</w:t>
      </w:r>
    </w:p>
    <w:p>
      <w:pPr>
        <w:pStyle w:val="30"/>
        <w:bidi w:val="0"/>
        <w:rPr>
          <w:rFonts w:hint="default"/>
          <w:lang w:val="en-US" w:eastAsia="zh-CN"/>
        </w:rPr>
      </w:pPr>
      <w:bookmarkStart w:id="5" w:name="_Toc1830"/>
      <w:r>
        <w:rPr>
          <w:rFonts w:hint="eastAsia"/>
          <w:i w:val="0"/>
          <w:iCs w:val="0"/>
          <w:lang w:val="en-US" w:eastAsia="zh-CN"/>
        </w:rPr>
        <w:t>For OAM/gNB centric data collection for beam management, the regular timer to regulate the time duration for UE to performing measurement logging is not needed</w:t>
      </w:r>
      <w:r>
        <w:rPr>
          <w:rFonts w:hint="eastAsia"/>
          <w:lang w:val="en-US" w:eastAsia="zh-CN"/>
        </w:rPr>
        <w:t>.</w:t>
      </w:r>
      <w:bookmarkEnd w:id="5"/>
    </w:p>
    <w:p>
      <w:pPr>
        <w:bidi w:val="0"/>
        <w:rPr>
          <w:rFonts w:hint="eastAsia"/>
          <w:lang w:val="en-US" w:eastAsia="zh-CN"/>
        </w:rPr>
      </w:pPr>
      <w:r>
        <w:rPr>
          <w:rFonts w:hint="eastAsia"/>
          <w:lang w:val="en-US" w:eastAsia="zh-CN"/>
        </w:rPr>
        <w:t xml:space="preserve">In the logged MDT, the measurement logging is stopped by the event where the UE memory reserved for the logged MDT is full, and the measurement logging is suspended by the event where the IDC problem is detected by UE. In our understanding , the measurement logging in RRC_Connected state can still be interrupted by above two events.  </w:t>
      </w:r>
    </w:p>
    <w:p>
      <w:pPr>
        <w:pStyle w:val="30"/>
        <w:bidi w:val="0"/>
        <w:rPr>
          <w:rFonts w:hint="eastAsia"/>
          <w:lang w:val="en-US" w:eastAsia="zh-CN"/>
        </w:rPr>
      </w:pPr>
      <w:bookmarkStart w:id="6" w:name="_Toc3350"/>
      <w:r>
        <w:rPr>
          <w:rFonts w:hint="eastAsia"/>
          <w:i w:val="0"/>
          <w:iCs w:val="0"/>
          <w:lang w:val="en-US" w:eastAsia="zh-CN"/>
        </w:rPr>
        <w:t>For OAM/gNB centric data collection for beam management, the measurement logging shall be suspended if the UE memory reserved for the data collection is full or the IDC problem is detected by the UE.</w:t>
      </w:r>
      <w:bookmarkEnd w:id="6"/>
      <w:r>
        <w:rPr>
          <w:rFonts w:hint="eastAsia"/>
          <w:lang w:val="en-US" w:eastAsia="zh-CN"/>
        </w:rPr>
        <w:t xml:space="preserve">  </w:t>
      </w:r>
    </w:p>
    <w:p>
      <w:pPr>
        <w:bidi w:val="0"/>
        <w:rPr>
          <w:rFonts w:hint="default"/>
          <w:lang w:val="en-US" w:eastAsia="zh-CN"/>
        </w:rPr>
      </w:pPr>
    </w:p>
    <w:p>
      <w:pPr>
        <w:pStyle w:val="3"/>
        <w:bidi w:val="0"/>
        <w:rPr>
          <w:rFonts w:hint="default"/>
          <w:lang w:val="en-US"/>
        </w:rPr>
      </w:pPr>
      <w:r>
        <w:rPr>
          <w:rFonts w:hint="eastAsia"/>
          <w:lang w:val="en-US" w:eastAsia="zh-CN"/>
        </w:rPr>
        <w:t>Collected Data Reporting</w:t>
      </w:r>
    </w:p>
    <w:p>
      <w:pPr>
        <w:bidi w:val="0"/>
        <w:rPr>
          <w:rFonts w:hint="eastAsia" w:eastAsia="宋体"/>
          <w:lang w:val="en-US" w:eastAsia="zh-CN"/>
        </w:rPr>
      </w:pPr>
      <w:r>
        <w:rPr>
          <w:rFonts w:hint="eastAsia" w:eastAsia="宋体"/>
          <w:lang w:val="en-US" w:eastAsia="zh-CN"/>
        </w:rPr>
        <w:t>Considering the data logging is an optional feature, that means, the collected data reporting can be categorized into the two type of reporting method:</w:t>
      </w:r>
    </w:p>
    <w:p>
      <w:pPr>
        <w:numPr>
          <w:ilvl w:val="0"/>
          <w:numId w:val="13"/>
        </w:numPr>
        <w:bidi w:val="0"/>
        <w:ind w:left="420" w:leftChars="0" w:hanging="420" w:firstLineChars="0"/>
        <w:rPr>
          <w:rFonts w:hint="default" w:eastAsia="宋体"/>
          <w:lang w:val="en-US" w:eastAsia="zh-CN"/>
        </w:rPr>
      </w:pPr>
      <w:r>
        <w:rPr>
          <w:rFonts w:hint="eastAsia" w:eastAsia="宋体"/>
          <w:lang w:val="en-US" w:eastAsia="zh-CN"/>
        </w:rPr>
        <w:t>Type 1: One report for one measurement instance (e.g. the measurement logging is not configured)</w:t>
      </w:r>
    </w:p>
    <w:p>
      <w:pPr>
        <w:numPr>
          <w:ilvl w:val="0"/>
          <w:numId w:val="13"/>
        </w:numPr>
        <w:bidi w:val="0"/>
        <w:ind w:left="420" w:leftChars="0" w:hanging="420" w:firstLineChars="0"/>
        <w:rPr>
          <w:rFonts w:hint="default" w:eastAsia="宋体"/>
          <w:lang w:val="en-US" w:eastAsia="zh-CN"/>
        </w:rPr>
      </w:pPr>
      <w:r>
        <w:rPr>
          <w:rFonts w:hint="eastAsia" w:eastAsia="宋体"/>
          <w:lang w:val="en-US" w:eastAsia="zh-CN"/>
        </w:rPr>
        <w:t>Type 2: One report for multiple measurement instances (e.g. the measurement logging is configured)</w:t>
      </w:r>
    </w:p>
    <w:p>
      <w:pPr>
        <w:spacing w:before="120" w:after="120"/>
        <w:rPr>
          <w:rFonts w:hint="default" w:eastAsiaTheme="minorEastAsia"/>
          <w:lang w:val="en-US" w:eastAsia="zh-CN"/>
        </w:rPr>
      </w:pPr>
      <w:r>
        <w:rPr>
          <w:rFonts w:hint="eastAsia" w:eastAsiaTheme="minorEastAsia"/>
          <w:lang w:val="en-US" w:eastAsia="zh-CN"/>
        </w:rPr>
        <w:t xml:space="preserve">For type 1 reporting method, if the OAM/gNB centric data collection for beam management is based on the L3 measurement framework, the it shall be as same as the current RRM measurement, but the current event of RRM measurement, such as event A1, event A2,... etc, is aiming to the mobility which does not fit in the data collection for beam management. And, not as similar as mobility, the measurement for mobility is mainly focusing on the current serving cell becomes worse and/or the neighbor serving cell become better, then UE can trigger the report to the NW in order for NW to , there is no any motivation can be found to introduce the new event for the type 1 reporting method, </w:t>
      </w:r>
    </w:p>
    <w:p>
      <w:pPr>
        <w:pStyle w:val="30"/>
        <w:bidi w:val="0"/>
        <w:rPr>
          <w:rFonts w:hint="default"/>
          <w:lang w:val="en-US" w:eastAsia="zh-CN"/>
        </w:rPr>
      </w:pPr>
      <w:bookmarkStart w:id="7" w:name="_Toc3563"/>
      <w:r>
        <w:rPr>
          <w:rFonts w:hint="eastAsia"/>
          <w:i w:val="0"/>
          <w:iCs w:val="0"/>
          <w:lang w:val="en-US" w:eastAsia="zh-CN"/>
        </w:rPr>
        <w:t>For type 1 reporting method (e.g. the measurement logging is not configured), event based reporting is not supported.</w:t>
      </w:r>
      <w:bookmarkEnd w:id="7"/>
    </w:p>
    <w:p>
      <w:pPr>
        <w:pStyle w:val="32"/>
        <w:numPr>
          <w:ilvl w:val="255"/>
          <w:numId w:val="0"/>
        </w:numPr>
        <w:spacing w:before="72" w:after="72"/>
        <w:rPr>
          <w:rFonts w:hint="default"/>
          <w:b w:val="0"/>
          <w:bCs w:val="0"/>
          <w:i w:val="0"/>
          <w:iCs w:val="0"/>
          <w:lang w:val="en-US" w:eastAsia="zh-CN"/>
        </w:rPr>
      </w:pPr>
      <w:r>
        <w:rPr>
          <w:rFonts w:hint="eastAsia"/>
          <w:b w:val="0"/>
          <w:bCs w:val="0"/>
          <w:i w:val="0"/>
          <w:iCs w:val="0"/>
          <w:lang w:val="en-US" w:eastAsia="zh-CN"/>
        </w:rPr>
        <w:t xml:space="preserve">For type 2 reporting method (e.g. data logging is supported),  In the logged MDT, the measurement report is triggered by an on-demand mechanism (e.g. UEInformationRequest/UEInformationResponse) which is by NW request. In our understanding, the same mechanism can be the baseline for the gNB/OAM centric data collection for beam management. </w:t>
      </w:r>
    </w:p>
    <w:p>
      <w:pPr>
        <w:pStyle w:val="30"/>
        <w:bidi w:val="0"/>
        <w:rPr>
          <w:rFonts w:hint="default"/>
          <w:lang w:val="en-US" w:eastAsia="zh-CN"/>
        </w:rPr>
      </w:pPr>
      <w:bookmarkStart w:id="8" w:name="_Toc18099"/>
      <w:r>
        <w:rPr>
          <w:rFonts w:hint="eastAsia"/>
          <w:i w:val="0"/>
          <w:iCs w:val="0"/>
          <w:lang w:val="en-US" w:eastAsia="zh-CN"/>
        </w:rPr>
        <w:t>For type 2 reporting method (e.g. the measurement logging is configured), the measurement reporting for the logged data triggered by request from NW is the baseline.</w:t>
      </w:r>
      <w:bookmarkEnd w:id="8"/>
      <w:r>
        <w:rPr>
          <w:rFonts w:hint="eastAsia"/>
          <w:i w:val="0"/>
          <w:iCs w:val="0"/>
          <w:lang w:val="en-US" w:eastAsia="zh-CN"/>
        </w:rPr>
        <w:t xml:space="preserve"> </w:t>
      </w:r>
    </w:p>
    <w:p>
      <w:pPr>
        <w:bidi w:val="0"/>
        <w:rPr>
          <w:rFonts w:hint="default"/>
          <w:lang w:val="en-US" w:eastAsia="zh-CN"/>
        </w:rPr>
      </w:pPr>
      <w:r>
        <w:rPr>
          <w:rFonts w:hint="eastAsia"/>
          <w:lang w:val="en-US" w:eastAsia="zh-CN"/>
        </w:rPr>
        <w:t>For some event, It does make sense the type 2 reporting shall be triggered by at least one event, for example, the UE memory reserved for the data collection is full. For this event, UE trigger the measurement reporting and flush the UE memory after the successful transmission, and then continue starting or resuming the measurement collection.</w:t>
      </w:r>
    </w:p>
    <w:p>
      <w:pPr>
        <w:pStyle w:val="30"/>
        <w:bidi w:val="0"/>
        <w:rPr>
          <w:rFonts w:hint="default"/>
          <w:lang w:val="en-US" w:eastAsia="zh-CN"/>
        </w:rPr>
      </w:pPr>
      <w:bookmarkStart w:id="9" w:name="_Toc20727"/>
      <w:r>
        <w:rPr>
          <w:rFonts w:hint="eastAsia"/>
          <w:i w:val="0"/>
          <w:iCs w:val="0"/>
          <w:lang w:val="en-US" w:eastAsia="zh-CN"/>
        </w:rPr>
        <w:t>For type 2 reporting method (e.g. the measurement logging is configured), the measurement reporting for the logged data can be triggered by, at least, the event where the UE memory reserved for data collection is full.</w:t>
      </w:r>
      <w:bookmarkEnd w:id="9"/>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 xml:space="preserve">In this contribution, we provide our views on NW side data collection for </w:t>
      </w:r>
      <w:r>
        <w:rPr>
          <w:rFonts w:hint="eastAsia" w:eastAsia="微软雅黑"/>
          <w:sz w:val="21"/>
          <w:szCs w:val="21"/>
          <w:lang w:val="en-US" w:eastAsia="zh-CN"/>
        </w:rPr>
        <w:t xml:space="preserve">NW side </w:t>
      </w:r>
      <w:r>
        <w:rPr>
          <w:rFonts w:eastAsia="微软雅黑"/>
          <w:sz w:val="21"/>
          <w:szCs w:val="21"/>
        </w:rPr>
        <w:t>model training</w:t>
      </w:r>
      <w:r>
        <w:rPr>
          <w:rFonts w:hint="eastAsia" w:eastAsia="微软雅黑"/>
          <w:sz w:val="21"/>
          <w:szCs w:val="21"/>
        </w:rPr>
        <w:t xml:space="preserve"> </w:t>
      </w:r>
      <w:r>
        <w:rPr>
          <w:rFonts w:eastAsia="微软雅黑"/>
          <w:sz w:val="21"/>
          <w:szCs w:val="21"/>
        </w:rPr>
        <w:t>. We have the following observations and proposals:</w:t>
      </w:r>
    </w:p>
    <w:p>
      <w:pPr>
        <w:pStyle w:val="16"/>
        <w:tabs>
          <w:tab w:val="right" w:leader="dot" w:pos="9660"/>
        </w:tabs>
      </w:pPr>
      <w:r>
        <w:rPr>
          <w:sz w:val="21"/>
          <w:szCs w:val="21"/>
          <w:highlight w:val="yellow"/>
        </w:rPr>
        <w:fldChar w:fldCharType="begin"/>
      </w:r>
      <w:r>
        <w:rPr>
          <w:sz w:val="21"/>
          <w:szCs w:val="21"/>
          <w:highlight w:val="yellow"/>
        </w:rPr>
        <w:instrText xml:space="preserve">TOC \n  \t "!ZTE-Proposal-2021 + 段前: 0.5 行 段后: 0.5 行,1,sub-proposal,2,3rd level proposal,3" \h</w:instrText>
      </w:r>
      <w:r>
        <w:rPr>
          <w:sz w:val="21"/>
          <w:szCs w:val="21"/>
          <w:highlight w:val="yellow"/>
        </w:rPr>
        <w:fldChar w:fldCharType="separate"/>
      </w:r>
      <w:r>
        <w:rPr>
          <w:szCs w:val="21"/>
          <w:highlight w:val="yellow"/>
        </w:rPr>
        <w:fldChar w:fldCharType="begin"/>
      </w:r>
      <w:r>
        <w:rPr>
          <w:szCs w:val="21"/>
          <w:highlight w:val="yellow"/>
        </w:rPr>
        <w:instrText xml:space="preserve"> HYPERLINK \l _Toc19942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1: </w:t>
      </w:r>
      <w:r>
        <w:rPr>
          <w:rFonts w:hint="eastAsia"/>
          <w:i w:val="0"/>
          <w:iCs w:val="0"/>
          <w:lang w:val="en-US" w:eastAsia="zh-CN"/>
        </w:rPr>
        <w:t xml:space="preserve">As similar as immediate MDT, The OAM/gNB Centric data collection for beam management is based on the L3 measurement framework (e.g. </w:t>
      </w:r>
      <w:r>
        <w:rPr>
          <w:rFonts w:hint="eastAsia"/>
          <w:i/>
          <w:iCs/>
          <w:lang w:val="en-US" w:eastAsia="zh-CN"/>
        </w:rPr>
        <w:t>MeasObjectNR</w:t>
      </w:r>
      <w:r>
        <w:rPr>
          <w:rFonts w:hint="eastAsia"/>
          <w:i w:val="0"/>
          <w:iCs w:val="0"/>
          <w:lang w:val="en-US" w:eastAsia="zh-CN"/>
        </w:rPr>
        <w:t xml:space="preserve"> and </w:t>
      </w:r>
      <w:r>
        <w:rPr>
          <w:rFonts w:hint="eastAsia"/>
          <w:i/>
          <w:iCs/>
          <w:lang w:val="en-US" w:eastAsia="zh-CN"/>
        </w:rPr>
        <w:t>reportConfigNR</w:t>
      </w:r>
      <w:r>
        <w:rPr>
          <w:rFonts w:hint="eastAsia"/>
          <w:i w:val="0"/>
          <w:iCs w:val="0"/>
          <w:lang w:val="en-US" w:eastAsia="zh-CN"/>
        </w:rPr>
        <w:t xml:space="preserve">), the RS resources for data collection are configured in the </w:t>
      </w:r>
      <w:r>
        <w:rPr>
          <w:rFonts w:hint="eastAsia"/>
          <w:i/>
          <w:iCs/>
          <w:lang w:val="en-US" w:eastAsia="zh-CN"/>
        </w:rPr>
        <w:t xml:space="preserve">MeasObjectNR, </w:t>
      </w:r>
      <w:r>
        <w:rPr>
          <w:rFonts w:hint="eastAsia"/>
          <w:i w:val="0"/>
          <w:iCs w:val="0"/>
          <w:lang w:val="en-US" w:eastAsia="zh-CN"/>
        </w:rPr>
        <w:t xml:space="preserve">and the report type and content are configured in the </w:t>
      </w:r>
      <w:r>
        <w:rPr>
          <w:rFonts w:hint="eastAsia"/>
          <w:i/>
          <w:iCs/>
          <w:lang w:val="en-US" w:eastAsia="zh-CN"/>
        </w:rPr>
        <w:t>reportConfigNR.</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_Toc6993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2: </w:t>
      </w:r>
      <w:r>
        <w:rPr>
          <w:rFonts w:hint="eastAsia"/>
          <w:i w:val="0"/>
          <w:iCs w:val="0"/>
          <w:lang w:val="en-US" w:eastAsia="zh-CN"/>
        </w:rPr>
        <w:t>For OAM/gNB centric data collection for beam management, the measurement logging at UE side is started upon the receiving of the measurement configuration from NW, and stopped upon the release of the measurement configuration.</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_Toc1830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3: </w:t>
      </w:r>
      <w:r>
        <w:rPr>
          <w:rFonts w:hint="eastAsia"/>
          <w:i w:val="0"/>
          <w:iCs w:val="0"/>
          <w:lang w:val="en-US" w:eastAsia="zh-CN"/>
        </w:rPr>
        <w:t>For OAM/gNB centric data collection for beam management, the regular timer to regulate the time duration for UE to performing measurement logging is not needed</w:t>
      </w:r>
      <w:r>
        <w:rPr>
          <w:rFonts w:hint="eastAsia"/>
          <w:lang w:val="en-US" w:eastAsia="zh-CN"/>
        </w:rPr>
        <w:t>.</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_Toc3350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4: </w:t>
      </w:r>
      <w:r>
        <w:rPr>
          <w:rFonts w:hint="eastAsia"/>
          <w:i w:val="0"/>
          <w:iCs w:val="0"/>
          <w:lang w:val="en-US" w:eastAsia="zh-CN"/>
        </w:rPr>
        <w:t>For OAM/gNB centric data collection for beam management, the measurement logging shall be suspended if the UE memory reserved for the data collection is full or the IDC problem is detected by the UE.</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_Toc3563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5: </w:t>
      </w:r>
      <w:r>
        <w:rPr>
          <w:rFonts w:hint="eastAsia"/>
          <w:i w:val="0"/>
          <w:iCs w:val="0"/>
          <w:lang w:val="en-US" w:eastAsia="zh-CN"/>
        </w:rPr>
        <w:t>For type 1 reporting method (e.g. the measurement logging is not configured), event based reporting is not supported.</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_Toc18099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6: </w:t>
      </w:r>
      <w:r>
        <w:rPr>
          <w:rFonts w:hint="eastAsia"/>
          <w:i w:val="0"/>
          <w:iCs w:val="0"/>
          <w:lang w:val="en-US" w:eastAsia="zh-CN"/>
        </w:rPr>
        <w:t>For type 2 reporting method (e.g. the measurement logging is configured), the measurement reporting for the logged data triggered by request from NW is the baseline.</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_Toc20727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7: </w:t>
      </w:r>
      <w:r>
        <w:rPr>
          <w:rFonts w:hint="eastAsia"/>
          <w:i w:val="0"/>
          <w:iCs w:val="0"/>
          <w:lang w:val="en-US" w:eastAsia="zh-CN"/>
        </w:rPr>
        <w:t>For type 2 reporting method (e.g. the measurement logging is configured), the measurement reporting for the logged data can be triggered by, at least, the event where the UE memory reserved for data collection is full.</w:t>
      </w:r>
      <w:r>
        <w:rPr>
          <w:szCs w:val="21"/>
          <w:highlight w:val="yellow"/>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4"/>
        </w:numPr>
        <w:spacing w:before="120" w:after="120"/>
        <w:rPr>
          <w:rFonts w:eastAsiaTheme="minorEastAsia"/>
        </w:rPr>
      </w:pPr>
      <w:r>
        <w:rPr>
          <w:rFonts w:eastAsiaTheme="minorEastAsia"/>
        </w:rPr>
        <w:t>TR 38.843</w:t>
      </w:r>
    </w:p>
    <w:p>
      <w:pPr>
        <w:numPr>
          <w:ilvl w:val="0"/>
          <w:numId w:val="14"/>
        </w:numPr>
        <w:spacing w:before="120" w:after="120"/>
        <w:rPr>
          <w:rFonts w:eastAsiaTheme="minorEastAsia"/>
        </w:rPr>
      </w:pPr>
      <w:r>
        <w:rPr>
          <w:rFonts w:eastAsiaTheme="minorEastAsia"/>
        </w:rPr>
        <w:t>RAN2#12</w:t>
      </w:r>
      <w:r>
        <w:rPr>
          <w:rFonts w:hint="eastAsia" w:eastAsiaTheme="minorEastAsia"/>
          <w:lang w:val="en-US" w:eastAsia="zh-CN"/>
        </w:rPr>
        <w:t>6</w:t>
      </w:r>
      <w:r>
        <w:rPr>
          <w:rFonts w:eastAsiaTheme="minorEastAsia"/>
        </w:rPr>
        <w:t xml:space="preserve"> chair notes</w:t>
      </w:r>
    </w:p>
    <w:p>
      <w:pPr>
        <w:spacing w:before="120" w:after="120"/>
      </w:pPr>
    </w:p>
    <w:p>
      <w:pPr>
        <w:spacing w:before="120" w:after="120"/>
        <w:rPr>
          <w:rFonts w:eastAsiaTheme="minorEastAsia"/>
        </w:rPr>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pPr>
    </w:p>
    <w:p>
      <w:pPr>
        <w:spacing w:before="120" w:after="120"/>
        <w:rPr>
          <w:rFonts w:eastAsia="宋体"/>
          <w:highlight w:val="yellow"/>
        </w:rPr>
      </w:pPr>
    </w:p>
    <w:sectPr>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D6E39"/>
    <w:multiLevelType w:val="singleLevel"/>
    <w:tmpl w:val="8C7D6E39"/>
    <w:lvl w:ilvl="0" w:tentative="0">
      <w:start w:val="1"/>
      <w:numFmt w:val="bullet"/>
      <w:lvlText w:val=""/>
      <w:lvlJc w:val="left"/>
      <w:pPr>
        <w:ind w:left="420" w:hanging="420"/>
      </w:pPr>
      <w:rPr>
        <w:rFonts w:hint="default" w:ascii="Wingdings" w:hAnsi="Wingdings"/>
      </w:rPr>
    </w:lvl>
  </w:abstractNum>
  <w:abstractNum w:abstractNumId="1">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2">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3">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4">
    <w:nsid w:val="241795E7"/>
    <w:multiLevelType w:val="singleLevel"/>
    <w:tmpl w:val="241795E7"/>
    <w:lvl w:ilvl="0" w:tentative="0">
      <w:start w:val="1"/>
      <w:numFmt w:val="bullet"/>
      <w:pStyle w:val="35"/>
      <w:lvlText w:val="◦"/>
      <w:lvlJc w:val="left"/>
      <w:pPr>
        <w:ind w:left="420" w:hanging="420"/>
      </w:pPr>
      <w:rPr>
        <w:rFonts w:hint="default" w:ascii="Arial" w:hAnsi="Arial" w:cs="Arial"/>
      </w:rPr>
    </w:lvl>
  </w:abstractNum>
  <w:abstractNum w:abstractNumId="5">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6">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7">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8">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9">
    <w:nsid w:val="56BA34EA"/>
    <w:multiLevelType w:val="singleLevel"/>
    <w:tmpl w:val="56BA34EA"/>
    <w:lvl w:ilvl="0" w:tentative="0">
      <w:start w:val="1"/>
      <w:numFmt w:val="decimal"/>
      <w:suff w:val="space"/>
      <w:lvlText w:val="[%1]"/>
      <w:lvlJc w:val="left"/>
    </w:lvl>
  </w:abstractNum>
  <w:abstractNum w:abstractNumId="10">
    <w:nsid w:val="5D763755"/>
    <w:multiLevelType w:val="multilevel"/>
    <w:tmpl w:val="5D763755"/>
    <w:lvl w:ilvl="0" w:tentative="0">
      <w:start w:val="1"/>
      <w:numFmt w:val="decimal"/>
      <w:pStyle w:val="30"/>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1">
    <w:nsid w:val="6B407C91"/>
    <w:multiLevelType w:val="singleLevel"/>
    <w:tmpl w:val="6B407C91"/>
    <w:lvl w:ilvl="0" w:tentative="0">
      <w:start w:val="1"/>
      <w:numFmt w:val="bullet"/>
      <w:lvlText w:val=""/>
      <w:lvlJc w:val="left"/>
      <w:pPr>
        <w:ind w:left="420" w:hanging="420"/>
      </w:pPr>
      <w:rPr>
        <w:rFonts w:hint="default" w:ascii="Wingdings" w:hAnsi="Wingdings"/>
      </w:rPr>
    </w:lvl>
  </w:abstractNum>
  <w:abstractNum w:abstractNumId="12">
    <w:nsid w:val="70110F9F"/>
    <w:multiLevelType w:val="multilevel"/>
    <w:tmpl w:val="70110F9F"/>
    <w:lvl w:ilvl="0" w:tentative="0">
      <w:start w:val="1"/>
      <w:numFmt w:val="decimal"/>
      <w:pStyle w:val="3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0146DC0"/>
    <w:multiLevelType w:val="multilevel"/>
    <w:tmpl w:val="70146DC0"/>
    <w:lvl w:ilvl="0" w:tentative="0">
      <w:start w:val="1"/>
      <w:numFmt w:val="bullet"/>
      <w:pStyle w:val="57"/>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7"/>
  </w:num>
  <w:num w:numId="2">
    <w:abstractNumId w:val="2"/>
  </w:num>
  <w:num w:numId="3">
    <w:abstractNumId w:val="10"/>
  </w:num>
  <w:num w:numId="4">
    <w:abstractNumId w:val="12"/>
  </w:num>
  <w:num w:numId="5">
    <w:abstractNumId w:val="1"/>
  </w:num>
  <w:num w:numId="6">
    <w:abstractNumId w:val="8"/>
  </w:num>
  <w:num w:numId="7">
    <w:abstractNumId w:val="4"/>
  </w:num>
  <w:num w:numId="8">
    <w:abstractNumId w:val="3"/>
  </w:num>
  <w:num w:numId="9">
    <w:abstractNumId w:val="6"/>
  </w:num>
  <w:num w:numId="10">
    <w:abstractNumId w:val="5"/>
  </w:num>
  <w:num w:numId="11">
    <w:abstractNumId w:val="13"/>
  </w:num>
  <w:num w:numId="12">
    <w:abstractNumId w:val="0"/>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alignBordersAndEdg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6FC2"/>
    <w:rsid w:val="000215AB"/>
    <w:rsid w:val="00021F62"/>
    <w:rsid w:val="0002205F"/>
    <w:rsid w:val="00024AD4"/>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260E"/>
    <w:rsid w:val="0015763C"/>
    <w:rsid w:val="00167F63"/>
    <w:rsid w:val="00171C2E"/>
    <w:rsid w:val="00172A27"/>
    <w:rsid w:val="0017519D"/>
    <w:rsid w:val="001768FE"/>
    <w:rsid w:val="0018673E"/>
    <w:rsid w:val="00187321"/>
    <w:rsid w:val="00193046"/>
    <w:rsid w:val="001A2BEB"/>
    <w:rsid w:val="001B4ED2"/>
    <w:rsid w:val="001B502E"/>
    <w:rsid w:val="001C1A6F"/>
    <w:rsid w:val="001E1C37"/>
    <w:rsid w:val="001E3384"/>
    <w:rsid w:val="00201F06"/>
    <w:rsid w:val="00221F35"/>
    <w:rsid w:val="002376AE"/>
    <w:rsid w:val="0025580E"/>
    <w:rsid w:val="00271AE3"/>
    <w:rsid w:val="00283AC3"/>
    <w:rsid w:val="00283E9C"/>
    <w:rsid w:val="00287778"/>
    <w:rsid w:val="002930DE"/>
    <w:rsid w:val="002A19A2"/>
    <w:rsid w:val="002A38F7"/>
    <w:rsid w:val="002B3874"/>
    <w:rsid w:val="002C0735"/>
    <w:rsid w:val="002D3C5C"/>
    <w:rsid w:val="002E478D"/>
    <w:rsid w:val="002E5E77"/>
    <w:rsid w:val="00301063"/>
    <w:rsid w:val="003161BA"/>
    <w:rsid w:val="00324214"/>
    <w:rsid w:val="00335993"/>
    <w:rsid w:val="003503A9"/>
    <w:rsid w:val="00350843"/>
    <w:rsid w:val="00355768"/>
    <w:rsid w:val="0035608C"/>
    <w:rsid w:val="00357E29"/>
    <w:rsid w:val="00370500"/>
    <w:rsid w:val="00376B17"/>
    <w:rsid w:val="00385770"/>
    <w:rsid w:val="003904D9"/>
    <w:rsid w:val="00395F21"/>
    <w:rsid w:val="003A6BA5"/>
    <w:rsid w:val="003C0B54"/>
    <w:rsid w:val="003C3CE4"/>
    <w:rsid w:val="003D17AE"/>
    <w:rsid w:val="003E5CBE"/>
    <w:rsid w:val="003E6EAB"/>
    <w:rsid w:val="003F31D3"/>
    <w:rsid w:val="003F6CD6"/>
    <w:rsid w:val="0040342D"/>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038"/>
    <w:rsid w:val="006807E6"/>
    <w:rsid w:val="00691D2E"/>
    <w:rsid w:val="006A6B9B"/>
    <w:rsid w:val="006A761C"/>
    <w:rsid w:val="006A7CC0"/>
    <w:rsid w:val="006B145B"/>
    <w:rsid w:val="006B60F5"/>
    <w:rsid w:val="006C4974"/>
    <w:rsid w:val="006D0EA4"/>
    <w:rsid w:val="006F26CE"/>
    <w:rsid w:val="00713F6C"/>
    <w:rsid w:val="00724E53"/>
    <w:rsid w:val="00763222"/>
    <w:rsid w:val="00773968"/>
    <w:rsid w:val="00774664"/>
    <w:rsid w:val="00791245"/>
    <w:rsid w:val="007D319F"/>
    <w:rsid w:val="007E7A15"/>
    <w:rsid w:val="007F3DCC"/>
    <w:rsid w:val="00820E09"/>
    <w:rsid w:val="008212F1"/>
    <w:rsid w:val="00827B07"/>
    <w:rsid w:val="008337A9"/>
    <w:rsid w:val="008503AC"/>
    <w:rsid w:val="0086109C"/>
    <w:rsid w:val="00885FE5"/>
    <w:rsid w:val="00890F3B"/>
    <w:rsid w:val="008A1EED"/>
    <w:rsid w:val="008A2E93"/>
    <w:rsid w:val="008B5FA9"/>
    <w:rsid w:val="008D19DE"/>
    <w:rsid w:val="008D304B"/>
    <w:rsid w:val="008D3B0B"/>
    <w:rsid w:val="008F14A4"/>
    <w:rsid w:val="008F30BC"/>
    <w:rsid w:val="008F3CF6"/>
    <w:rsid w:val="008F5537"/>
    <w:rsid w:val="00911F2D"/>
    <w:rsid w:val="009141DD"/>
    <w:rsid w:val="00921A22"/>
    <w:rsid w:val="009260F9"/>
    <w:rsid w:val="009401EC"/>
    <w:rsid w:val="00942041"/>
    <w:rsid w:val="00945B44"/>
    <w:rsid w:val="00954A8B"/>
    <w:rsid w:val="0096044C"/>
    <w:rsid w:val="00980780"/>
    <w:rsid w:val="009817D2"/>
    <w:rsid w:val="00986193"/>
    <w:rsid w:val="009A291D"/>
    <w:rsid w:val="009A704B"/>
    <w:rsid w:val="009B04AB"/>
    <w:rsid w:val="009C3ADC"/>
    <w:rsid w:val="009C7CB7"/>
    <w:rsid w:val="009D3B70"/>
    <w:rsid w:val="009D5A1B"/>
    <w:rsid w:val="009F756D"/>
    <w:rsid w:val="009F7B76"/>
    <w:rsid w:val="00A00EF4"/>
    <w:rsid w:val="00A05B81"/>
    <w:rsid w:val="00A1020D"/>
    <w:rsid w:val="00A12C8C"/>
    <w:rsid w:val="00A1326F"/>
    <w:rsid w:val="00A137A4"/>
    <w:rsid w:val="00A2422D"/>
    <w:rsid w:val="00A24542"/>
    <w:rsid w:val="00A2463E"/>
    <w:rsid w:val="00A25CEE"/>
    <w:rsid w:val="00A334BF"/>
    <w:rsid w:val="00A37B97"/>
    <w:rsid w:val="00A40102"/>
    <w:rsid w:val="00A41C84"/>
    <w:rsid w:val="00A45E59"/>
    <w:rsid w:val="00A50086"/>
    <w:rsid w:val="00A5717C"/>
    <w:rsid w:val="00A777FD"/>
    <w:rsid w:val="00A9766A"/>
    <w:rsid w:val="00AA02A1"/>
    <w:rsid w:val="00AB5C97"/>
    <w:rsid w:val="00AB67B2"/>
    <w:rsid w:val="00AC14C2"/>
    <w:rsid w:val="00AC4CB5"/>
    <w:rsid w:val="00AD6794"/>
    <w:rsid w:val="00AE051A"/>
    <w:rsid w:val="00AE0D6E"/>
    <w:rsid w:val="00AE3EC3"/>
    <w:rsid w:val="00AF5B20"/>
    <w:rsid w:val="00B023A5"/>
    <w:rsid w:val="00B03CE5"/>
    <w:rsid w:val="00B056D9"/>
    <w:rsid w:val="00B14503"/>
    <w:rsid w:val="00B23BAD"/>
    <w:rsid w:val="00B30D2E"/>
    <w:rsid w:val="00B428B5"/>
    <w:rsid w:val="00B46BB6"/>
    <w:rsid w:val="00B50C9F"/>
    <w:rsid w:val="00B66CB1"/>
    <w:rsid w:val="00B6720B"/>
    <w:rsid w:val="00B764C8"/>
    <w:rsid w:val="00B8129D"/>
    <w:rsid w:val="00B90A41"/>
    <w:rsid w:val="00B928EB"/>
    <w:rsid w:val="00B939F0"/>
    <w:rsid w:val="00BA3F20"/>
    <w:rsid w:val="00BB0B7F"/>
    <w:rsid w:val="00BB6518"/>
    <w:rsid w:val="00BD6330"/>
    <w:rsid w:val="00BE451F"/>
    <w:rsid w:val="00BF10A3"/>
    <w:rsid w:val="00C11946"/>
    <w:rsid w:val="00C155C1"/>
    <w:rsid w:val="00C202A3"/>
    <w:rsid w:val="00C5672F"/>
    <w:rsid w:val="00C6294E"/>
    <w:rsid w:val="00C71AAD"/>
    <w:rsid w:val="00CB4CA6"/>
    <w:rsid w:val="00CB6631"/>
    <w:rsid w:val="00CE1D22"/>
    <w:rsid w:val="00CE2B6B"/>
    <w:rsid w:val="00CE3392"/>
    <w:rsid w:val="00CF72DC"/>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4870"/>
    <w:rsid w:val="00DF75DB"/>
    <w:rsid w:val="00E022FD"/>
    <w:rsid w:val="00E231FB"/>
    <w:rsid w:val="00E27091"/>
    <w:rsid w:val="00E35DE6"/>
    <w:rsid w:val="00E422E5"/>
    <w:rsid w:val="00E45E7F"/>
    <w:rsid w:val="00E479BD"/>
    <w:rsid w:val="00E530A4"/>
    <w:rsid w:val="00E54CEF"/>
    <w:rsid w:val="00E5638F"/>
    <w:rsid w:val="00E74F94"/>
    <w:rsid w:val="00EA2F70"/>
    <w:rsid w:val="00EA345C"/>
    <w:rsid w:val="00EA4204"/>
    <w:rsid w:val="00EA5E9B"/>
    <w:rsid w:val="00EB50B5"/>
    <w:rsid w:val="00EB7B8C"/>
    <w:rsid w:val="00ED26AB"/>
    <w:rsid w:val="00EE5F9D"/>
    <w:rsid w:val="00EF473E"/>
    <w:rsid w:val="00F0703E"/>
    <w:rsid w:val="00F24223"/>
    <w:rsid w:val="00F33F85"/>
    <w:rsid w:val="00F44EAA"/>
    <w:rsid w:val="00F45519"/>
    <w:rsid w:val="00F47141"/>
    <w:rsid w:val="00F471FA"/>
    <w:rsid w:val="00F4751E"/>
    <w:rsid w:val="00F509E9"/>
    <w:rsid w:val="00F60665"/>
    <w:rsid w:val="00F65BA8"/>
    <w:rsid w:val="00F65D73"/>
    <w:rsid w:val="00F821A9"/>
    <w:rsid w:val="00F86F1C"/>
    <w:rsid w:val="00FA1D4B"/>
    <w:rsid w:val="00FB4228"/>
    <w:rsid w:val="00FB5803"/>
    <w:rsid w:val="00FC080D"/>
    <w:rsid w:val="00FC5137"/>
    <w:rsid w:val="00FC6E1D"/>
    <w:rsid w:val="00FD2DE4"/>
    <w:rsid w:val="00FE287B"/>
    <w:rsid w:val="00FE3A28"/>
    <w:rsid w:val="00FF38B8"/>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3FC0BE8"/>
    <w:rsid w:val="04185C08"/>
    <w:rsid w:val="04206331"/>
    <w:rsid w:val="043168B5"/>
    <w:rsid w:val="049251C3"/>
    <w:rsid w:val="04DA33A7"/>
    <w:rsid w:val="0555228E"/>
    <w:rsid w:val="055D1ABB"/>
    <w:rsid w:val="057D6C1A"/>
    <w:rsid w:val="05833A23"/>
    <w:rsid w:val="059D1E39"/>
    <w:rsid w:val="05E078B3"/>
    <w:rsid w:val="060F4745"/>
    <w:rsid w:val="06533D31"/>
    <w:rsid w:val="069716DA"/>
    <w:rsid w:val="077D0583"/>
    <w:rsid w:val="07832E38"/>
    <w:rsid w:val="079724D0"/>
    <w:rsid w:val="082A352F"/>
    <w:rsid w:val="08325246"/>
    <w:rsid w:val="084D7D75"/>
    <w:rsid w:val="085310AF"/>
    <w:rsid w:val="08C349D1"/>
    <w:rsid w:val="08FD1F99"/>
    <w:rsid w:val="0924660B"/>
    <w:rsid w:val="092D6388"/>
    <w:rsid w:val="09460486"/>
    <w:rsid w:val="095C4FB4"/>
    <w:rsid w:val="09F67CD5"/>
    <w:rsid w:val="0A9724B3"/>
    <w:rsid w:val="0AC167FE"/>
    <w:rsid w:val="0B584155"/>
    <w:rsid w:val="0B9E71DF"/>
    <w:rsid w:val="0BBD62CF"/>
    <w:rsid w:val="0C776B79"/>
    <w:rsid w:val="0C9D30C2"/>
    <w:rsid w:val="0D2242B0"/>
    <w:rsid w:val="0D8F4081"/>
    <w:rsid w:val="0D9D65F4"/>
    <w:rsid w:val="0DE91C8A"/>
    <w:rsid w:val="0E172BD0"/>
    <w:rsid w:val="0E7923DD"/>
    <w:rsid w:val="0EB01B25"/>
    <w:rsid w:val="0EDF02B5"/>
    <w:rsid w:val="0EEC1926"/>
    <w:rsid w:val="0F593CC6"/>
    <w:rsid w:val="0F7716EA"/>
    <w:rsid w:val="100D6188"/>
    <w:rsid w:val="10505D93"/>
    <w:rsid w:val="106D269D"/>
    <w:rsid w:val="10936355"/>
    <w:rsid w:val="10A50104"/>
    <w:rsid w:val="10EE6A98"/>
    <w:rsid w:val="114E14F4"/>
    <w:rsid w:val="115B3410"/>
    <w:rsid w:val="1176196F"/>
    <w:rsid w:val="119D7849"/>
    <w:rsid w:val="11B764F4"/>
    <w:rsid w:val="1242135C"/>
    <w:rsid w:val="12626D51"/>
    <w:rsid w:val="12E524C7"/>
    <w:rsid w:val="12F33A2A"/>
    <w:rsid w:val="13561985"/>
    <w:rsid w:val="13A1683F"/>
    <w:rsid w:val="144858D9"/>
    <w:rsid w:val="14960C8D"/>
    <w:rsid w:val="14DA3DA1"/>
    <w:rsid w:val="14E77EFC"/>
    <w:rsid w:val="152D3980"/>
    <w:rsid w:val="15BE6B7D"/>
    <w:rsid w:val="161B446F"/>
    <w:rsid w:val="16375F6A"/>
    <w:rsid w:val="168C722A"/>
    <w:rsid w:val="17155857"/>
    <w:rsid w:val="17950508"/>
    <w:rsid w:val="17AD7BB9"/>
    <w:rsid w:val="17AE4590"/>
    <w:rsid w:val="17C01C99"/>
    <w:rsid w:val="18677125"/>
    <w:rsid w:val="18B4714D"/>
    <w:rsid w:val="19010C43"/>
    <w:rsid w:val="19084C73"/>
    <w:rsid w:val="192704F2"/>
    <w:rsid w:val="194239FF"/>
    <w:rsid w:val="19E51863"/>
    <w:rsid w:val="1A0470F6"/>
    <w:rsid w:val="1A054259"/>
    <w:rsid w:val="1A273CC1"/>
    <w:rsid w:val="1A564770"/>
    <w:rsid w:val="1A6B3851"/>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7A1BD5"/>
    <w:rsid w:val="1E9D6342"/>
    <w:rsid w:val="1EAE7285"/>
    <w:rsid w:val="1EBD2365"/>
    <w:rsid w:val="1EC1716C"/>
    <w:rsid w:val="1ECA5C70"/>
    <w:rsid w:val="1EDE49FD"/>
    <w:rsid w:val="1F254E27"/>
    <w:rsid w:val="1FFD7F2D"/>
    <w:rsid w:val="204E6676"/>
    <w:rsid w:val="20766689"/>
    <w:rsid w:val="214F70E4"/>
    <w:rsid w:val="2195668B"/>
    <w:rsid w:val="21962F88"/>
    <w:rsid w:val="21BE5AD4"/>
    <w:rsid w:val="21CA1BB1"/>
    <w:rsid w:val="21F128CC"/>
    <w:rsid w:val="22670C51"/>
    <w:rsid w:val="23081A49"/>
    <w:rsid w:val="2314495C"/>
    <w:rsid w:val="2334383D"/>
    <w:rsid w:val="2372234B"/>
    <w:rsid w:val="237776CF"/>
    <w:rsid w:val="23B369D5"/>
    <w:rsid w:val="23C15D2D"/>
    <w:rsid w:val="23CE335E"/>
    <w:rsid w:val="23D10A6B"/>
    <w:rsid w:val="241A03AC"/>
    <w:rsid w:val="243E205B"/>
    <w:rsid w:val="245C52F8"/>
    <w:rsid w:val="245F0637"/>
    <w:rsid w:val="2463385E"/>
    <w:rsid w:val="247E405B"/>
    <w:rsid w:val="24E64719"/>
    <w:rsid w:val="250D568B"/>
    <w:rsid w:val="25134332"/>
    <w:rsid w:val="25510545"/>
    <w:rsid w:val="257E508F"/>
    <w:rsid w:val="25961FCE"/>
    <w:rsid w:val="25C52CA6"/>
    <w:rsid w:val="26BF5712"/>
    <w:rsid w:val="26D25624"/>
    <w:rsid w:val="26D519C6"/>
    <w:rsid w:val="270011DC"/>
    <w:rsid w:val="27AB7429"/>
    <w:rsid w:val="281C2C78"/>
    <w:rsid w:val="28416E7E"/>
    <w:rsid w:val="285C053E"/>
    <w:rsid w:val="293351FB"/>
    <w:rsid w:val="29FA7F26"/>
    <w:rsid w:val="2A0F29F0"/>
    <w:rsid w:val="2A374081"/>
    <w:rsid w:val="2A520385"/>
    <w:rsid w:val="2A5F0C68"/>
    <w:rsid w:val="2ACC4A84"/>
    <w:rsid w:val="2B774832"/>
    <w:rsid w:val="2BD23509"/>
    <w:rsid w:val="2C3E7B79"/>
    <w:rsid w:val="2C946521"/>
    <w:rsid w:val="2CB52ADF"/>
    <w:rsid w:val="2CDE11E4"/>
    <w:rsid w:val="2D524C40"/>
    <w:rsid w:val="2DFF026B"/>
    <w:rsid w:val="2F1251F2"/>
    <w:rsid w:val="30962F3E"/>
    <w:rsid w:val="30D17E68"/>
    <w:rsid w:val="30E61F3A"/>
    <w:rsid w:val="30FF2795"/>
    <w:rsid w:val="31E8646E"/>
    <w:rsid w:val="31F206BD"/>
    <w:rsid w:val="322D54F6"/>
    <w:rsid w:val="3283370E"/>
    <w:rsid w:val="329A6ACE"/>
    <w:rsid w:val="32D32892"/>
    <w:rsid w:val="33100CE4"/>
    <w:rsid w:val="3311524E"/>
    <w:rsid w:val="333A6A27"/>
    <w:rsid w:val="33607071"/>
    <w:rsid w:val="338D7587"/>
    <w:rsid w:val="34A16B63"/>
    <w:rsid w:val="34D94F8E"/>
    <w:rsid w:val="35700BFC"/>
    <w:rsid w:val="359547E0"/>
    <w:rsid w:val="35A4779E"/>
    <w:rsid w:val="35EB3B29"/>
    <w:rsid w:val="360B1D73"/>
    <w:rsid w:val="361F3323"/>
    <w:rsid w:val="36A04581"/>
    <w:rsid w:val="36B76EFF"/>
    <w:rsid w:val="36E93760"/>
    <w:rsid w:val="37305077"/>
    <w:rsid w:val="37453535"/>
    <w:rsid w:val="376B65F6"/>
    <w:rsid w:val="377E620D"/>
    <w:rsid w:val="3784394E"/>
    <w:rsid w:val="37A507E2"/>
    <w:rsid w:val="38784A0F"/>
    <w:rsid w:val="38AE3BB0"/>
    <w:rsid w:val="3923463F"/>
    <w:rsid w:val="39EC0CDC"/>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090843"/>
    <w:rsid w:val="3F3C3EA0"/>
    <w:rsid w:val="3F4675AF"/>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2EA24ED"/>
    <w:rsid w:val="430D7A82"/>
    <w:rsid w:val="438F5697"/>
    <w:rsid w:val="43A55B32"/>
    <w:rsid w:val="43D95BBF"/>
    <w:rsid w:val="440D5045"/>
    <w:rsid w:val="440E3F24"/>
    <w:rsid w:val="44173BF9"/>
    <w:rsid w:val="44416E39"/>
    <w:rsid w:val="44613B62"/>
    <w:rsid w:val="44F3408E"/>
    <w:rsid w:val="4515300D"/>
    <w:rsid w:val="455B0E88"/>
    <w:rsid w:val="45665BF5"/>
    <w:rsid w:val="45BE6191"/>
    <w:rsid w:val="45CF4C53"/>
    <w:rsid w:val="45F4123C"/>
    <w:rsid w:val="460C5979"/>
    <w:rsid w:val="46A961C5"/>
    <w:rsid w:val="46EF7E4E"/>
    <w:rsid w:val="47412B37"/>
    <w:rsid w:val="474A4532"/>
    <w:rsid w:val="475E782E"/>
    <w:rsid w:val="476F0FC5"/>
    <w:rsid w:val="47882F90"/>
    <w:rsid w:val="47B72EE3"/>
    <w:rsid w:val="47C01792"/>
    <w:rsid w:val="4808150F"/>
    <w:rsid w:val="48107720"/>
    <w:rsid w:val="482D66CC"/>
    <w:rsid w:val="483B65F5"/>
    <w:rsid w:val="48605F4B"/>
    <w:rsid w:val="49073F06"/>
    <w:rsid w:val="495661FE"/>
    <w:rsid w:val="49BC4BE1"/>
    <w:rsid w:val="49C74315"/>
    <w:rsid w:val="49E9233D"/>
    <w:rsid w:val="4A42266B"/>
    <w:rsid w:val="4A434E8D"/>
    <w:rsid w:val="4AAD1944"/>
    <w:rsid w:val="4AC31003"/>
    <w:rsid w:val="4AE93159"/>
    <w:rsid w:val="4B28179F"/>
    <w:rsid w:val="4B5C4413"/>
    <w:rsid w:val="4BB45090"/>
    <w:rsid w:val="4BD0339A"/>
    <w:rsid w:val="4D19690C"/>
    <w:rsid w:val="4D462159"/>
    <w:rsid w:val="4D5C5FAC"/>
    <w:rsid w:val="4D672FD1"/>
    <w:rsid w:val="4DC605B6"/>
    <w:rsid w:val="4DE319B7"/>
    <w:rsid w:val="4DEC0985"/>
    <w:rsid w:val="4E27683A"/>
    <w:rsid w:val="4E41696D"/>
    <w:rsid w:val="4F1A715B"/>
    <w:rsid w:val="4F2765B1"/>
    <w:rsid w:val="4F285975"/>
    <w:rsid w:val="4F3E3E8F"/>
    <w:rsid w:val="4F612D05"/>
    <w:rsid w:val="4F672A37"/>
    <w:rsid w:val="4F7409E6"/>
    <w:rsid w:val="504B4F45"/>
    <w:rsid w:val="5090028C"/>
    <w:rsid w:val="50DD1BD1"/>
    <w:rsid w:val="5145149A"/>
    <w:rsid w:val="516721CB"/>
    <w:rsid w:val="51746790"/>
    <w:rsid w:val="51796EDE"/>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5D57F4"/>
    <w:rsid w:val="5674038B"/>
    <w:rsid w:val="56D02A7B"/>
    <w:rsid w:val="56E23970"/>
    <w:rsid w:val="56FE2FE7"/>
    <w:rsid w:val="57155486"/>
    <w:rsid w:val="57522AF0"/>
    <w:rsid w:val="57773B00"/>
    <w:rsid w:val="577A3C7D"/>
    <w:rsid w:val="578F220A"/>
    <w:rsid w:val="57FC07D9"/>
    <w:rsid w:val="58500F22"/>
    <w:rsid w:val="58B01CD1"/>
    <w:rsid w:val="59044DFA"/>
    <w:rsid w:val="591C0009"/>
    <w:rsid w:val="591D7CE9"/>
    <w:rsid w:val="59772C15"/>
    <w:rsid w:val="5A256629"/>
    <w:rsid w:val="5A683F99"/>
    <w:rsid w:val="5A7C7F4E"/>
    <w:rsid w:val="5ACF0F3A"/>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25B68E6"/>
    <w:rsid w:val="63372785"/>
    <w:rsid w:val="636A526A"/>
    <w:rsid w:val="64934878"/>
    <w:rsid w:val="64AE73D4"/>
    <w:rsid w:val="64DA1397"/>
    <w:rsid w:val="65967AC8"/>
    <w:rsid w:val="66220A77"/>
    <w:rsid w:val="664805B8"/>
    <w:rsid w:val="66907CC1"/>
    <w:rsid w:val="67291244"/>
    <w:rsid w:val="672F1DCA"/>
    <w:rsid w:val="67AB555E"/>
    <w:rsid w:val="68CB171E"/>
    <w:rsid w:val="690F418B"/>
    <w:rsid w:val="699E284E"/>
    <w:rsid w:val="69FA4CD5"/>
    <w:rsid w:val="69FB7936"/>
    <w:rsid w:val="6A154B1E"/>
    <w:rsid w:val="6A73734B"/>
    <w:rsid w:val="6A7A2736"/>
    <w:rsid w:val="6A7B4B9C"/>
    <w:rsid w:val="6AC769D6"/>
    <w:rsid w:val="6AFF6CB8"/>
    <w:rsid w:val="6B3E23A9"/>
    <w:rsid w:val="6B5A722E"/>
    <w:rsid w:val="6BE61376"/>
    <w:rsid w:val="6BF84491"/>
    <w:rsid w:val="6C2F63F5"/>
    <w:rsid w:val="6C89456C"/>
    <w:rsid w:val="6CA35FF1"/>
    <w:rsid w:val="6D663271"/>
    <w:rsid w:val="6D920F45"/>
    <w:rsid w:val="6D9B5DDA"/>
    <w:rsid w:val="6EB76C5F"/>
    <w:rsid w:val="6EFD2B71"/>
    <w:rsid w:val="6F477B5B"/>
    <w:rsid w:val="6F901B66"/>
    <w:rsid w:val="6FA629D4"/>
    <w:rsid w:val="6FC05247"/>
    <w:rsid w:val="6FD10552"/>
    <w:rsid w:val="6FEC35B1"/>
    <w:rsid w:val="705D6B36"/>
    <w:rsid w:val="70602E31"/>
    <w:rsid w:val="70912EBC"/>
    <w:rsid w:val="70BB2EF0"/>
    <w:rsid w:val="70E43928"/>
    <w:rsid w:val="71811486"/>
    <w:rsid w:val="71A67303"/>
    <w:rsid w:val="7205242C"/>
    <w:rsid w:val="72694601"/>
    <w:rsid w:val="72C33A8B"/>
    <w:rsid w:val="73414765"/>
    <w:rsid w:val="73455C21"/>
    <w:rsid w:val="73D425F7"/>
    <w:rsid w:val="74263AAC"/>
    <w:rsid w:val="744947DD"/>
    <w:rsid w:val="750A2023"/>
    <w:rsid w:val="761E100C"/>
    <w:rsid w:val="762338B0"/>
    <w:rsid w:val="76284C88"/>
    <w:rsid w:val="765A155A"/>
    <w:rsid w:val="7676736A"/>
    <w:rsid w:val="76933951"/>
    <w:rsid w:val="76DE38FA"/>
    <w:rsid w:val="76FA3873"/>
    <w:rsid w:val="771D661B"/>
    <w:rsid w:val="771F7714"/>
    <w:rsid w:val="77317864"/>
    <w:rsid w:val="774A2F4D"/>
    <w:rsid w:val="775D48D0"/>
    <w:rsid w:val="777E145F"/>
    <w:rsid w:val="77A1150C"/>
    <w:rsid w:val="77DE03CC"/>
    <w:rsid w:val="785379A4"/>
    <w:rsid w:val="78782A0D"/>
    <w:rsid w:val="788F42B8"/>
    <w:rsid w:val="7896445B"/>
    <w:rsid w:val="78AD1665"/>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474B36"/>
    <w:rsid w:val="7E7745C1"/>
    <w:rsid w:val="7E8070E2"/>
    <w:rsid w:val="7E8E2FD8"/>
    <w:rsid w:val="7E951513"/>
    <w:rsid w:val="7E9B749B"/>
    <w:rsid w:val="7EA27EB5"/>
    <w:rsid w:val="7EAB435E"/>
    <w:rsid w:val="7EBD7F90"/>
    <w:rsid w:val="7ED001FD"/>
    <w:rsid w:val="7EEF2AA6"/>
    <w:rsid w:val="7EF74FC9"/>
    <w:rsid w:val="7F365713"/>
    <w:rsid w:val="7F3C0B3F"/>
    <w:rsid w:val="7F5969AC"/>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link w:val="91"/>
    <w:qFormat/>
    <w:uiPriority w:val="0"/>
    <w:pPr>
      <w:numPr>
        <w:ilvl w:val="2"/>
      </w:numPr>
      <w:outlineLvl w:val="2"/>
    </w:pPr>
    <w:rPr>
      <w:rFonts w:eastAsia="宋体"/>
      <w:sz w:val="22"/>
    </w:rPr>
  </w:style>
  <w:style w:type="paragraph" w:styleId="5">
    <w:name w:val="heading 4"/>
    <w:basedOn w:val="4"/>
    <w:next w:val="1"/>
    <w:link w:val="81"/>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79"/>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59"/>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semiHidden/>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5"/>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8"/>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5"/>
    <w:unhideWhenUsed/>
    <w:qFormat/>
    <w:uiPriority w:val="99"/>
    <w:pPr>
      <w:tabs>
        <w:tab w:val="center" w:pos="4153"/>
        <w:tab w:val="right" w:pos="8306"/>
      </w:tabs>
      <w:snapToGrid w:val="0"/>
    </w:pPr>
    <w:rPr>
      <w:sz w:val="18"/>
      <w:szCs w:val="18"/>
    </w:rPr>
  </w:style>
  <w:style w:type="paragraph" w:styleId="15">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2"/>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600"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5"/>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basedOn w:val="22"/>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Proposal"/>
    <w:basedOn w:val="1"/>
    <w:link w:val="64"/>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link w:val="65"/>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6"/>
      </w:numPr>
      <w:ind w:left="0" w:firstLine="0"/>
    </w:pPr>
    <w:rPr>
      <w:rFonts w:eastAsia="宋体"/>
    </w:rPr>
  </w:style>
  <w:style w:type="paragraph" w:customStyle="1" w:styleId="35">
    <w:name w:val="3rd level proposal"/>
    <w:basedOn w:val="33"/>
    <w:qFormat/>
    <w:uiPriority w:val="0"/>
    <w:pPr>
      <w:numPr>
        <w:ilvl w:val="0"/>
        <w:numId w:val="7"/>
      </w:numPr>
      <w:ind w:left="627" w:leftChars="200" w:firstLine="0"/>
    </w:pPr>
  </w:style>
  <w:style w:type="paragraph" w:customStyle="1" w:styleId="36">
    <w:name w:val="3rd level observation"/>
    <w:basedOn w:val="34"/>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9"/>
      </w:numPr>
      <w:spacing w:after="60"/>
    </w:pPr>
    <w:rPr>
      <w:szCs w:val="16"/>
    </w:rPr>
  </w:style>
  <w:style w:type="paragraph" w:styleId="38">
    <w:name w:val="List Paragraph"/>
    <w:basedOn w:val="1"/>
    <w:qFormat/>
    <w:uiPriority w:val="99"/>
    <w:pPr>
      <w:spacing w:beforeLines="0"/>
      <w:ind w:left="720"/>
      <w:contextualSpacing/>
    </w:pPr>
    <w:rPr>
      <w:sz w:val="24"/>
      <w:szCs w:val="24"/>
    </w:rPr>
  </w:style>
  <w:style w:type="character" w:customStyle="1" w:styleId="39">
    <w:name w:val="页眉 字符"/>
    <w:basedOn w:val="24"/>
    <w:link w:val="15"/>
    <w:qFormat/>
    <w:uiPriority w:val="99"/>
    <w:rPr>
      <w:rFonts w:eastAsia="Times New Roman"/>
      <w:kern w:val="2"/>
      <w:sz w:val="18"/>
      <w:szCs w:val="18"/>
    </w:rPr>
  </w:style>
  <w:style w:type="paragraph" w:customStyle="1" w:styleId="40">
    <w:name w:val="ZTE-C-proposal"/>
    <w:basedOn w:val="16"/>
    <w:link w:val="43"/>
    <w:qFormat/>
    <w:uiPriority w:val="0"/>
    <w:pPr>
      <w:spacing w:before="120" w:after="120"/>
      <w:ind w:left="1104" w:hanging="1104" w:hangingChars="550"/>
    </w:pPr>
  </w:style>
  <w:style w:type="paragraph" w:customStyle="1" w:styleId="41">
    <w:name w:val="ZTE-C-subProposal"/>
    <w:basedOn w:val="20"/>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6"/>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2"/>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20"/>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6"/>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2"/>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20"/>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2"/>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4"/>
    <w:qFormat/>
    <w:uiPriority w:val="99"/>
    <w:rPr>
      <w:rFonts w:eastAsia="Times New Roman"/>
      <w:kern w:val="2"/>
      <w:sz w:val="18"/>
      <w:szCs w:val="18"/>
    </w:rPr>
  </w:style>
  <w:style w:type="paragraph" w:customStyle="1" w:styleId="56">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1"/>
      </w:numPr>
      <w:tabs>
        <w:tab w:val="left" w:pos="1619"/>
        <w:tab w:val="clear" w:pos="364"/>
      </w:tabs>
      <w:spacing w:before="60"/>
    </w:pPr>
    <w:rPr>
      <w:b/>
    </w:rPr>
  </w:style>
  <w:style w:type="paragraph" w:customStyle="1" w:styleId="58">
    <w:name w:val="Doc-text2"/>
    <w:basedOn w:val="1"/>
    <w:link w:val="97"/>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列表段落1"/>
    <w:basedOn w:val="1"/>
    <w:qFormat/>
    <w:uiPriority w:val="0"/>
    <w:pPr>
      <w:spacing w:beforeLines="0"/>
      <w:ind w:left="720"/>
      <w:contextualSpacing/>
    </w:pPr>
    <w:rPr>
      <w:rFonts w:eastAsia="宋体"/>
      <w:sz w:val="24"/>
      <w:szCs w:val="24"/>
    </w:rPr>
  </w:style>
  <w:style w:type="paragraph" w:customStyle="1" w:styleId="63">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4">
    <w:name w:val="Proposal 字符"/>
    <w:basedOn w:val="24"/>
    <w:link w:val="29"/>
    <w:qFormat/>
    <w:uiPriority w:val="0"/>
    <w:rPr>
      <w:rFonts w:ascii="Times New Roman" w:hAnsi="Times New Roman" w:eastAsia="Times New Roman" w:cs="Times New Roman"/>
      <w:b/>
      <w:bCs/>
      <w:i/>
      <w:iCs/>
      <w:kern w:val="2"/>
    </w:rPr>
  </w:style>
  <w:style w:type="character" w:customStyle="1" w:styleId="65">
    <w:name w:val="!ZTE-Proposal-2021 + 段前: 0.5 行 段后: 0.5 行 Char"/>
    <w:link w:val="30"/>
    <w:qFormat/>
    <w:uiPriority w:val="0"/>
    <w:rPr>
      <w:rFonts w:cs="宋体" w:eastAsiaTheme="minorEastAsia"/>
      <w:b/>
      <w:bCs/>
      <w:i/>
      <w:iCs/>
      <w:lang w:val="en-GB"/>
    </w:r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B3 Char"/>
    <w:basedOn w:val="24"/>
    <w:link w:val="69"/>
    <w:qFormat/>
    <w:uiPriority w:val="0"/>
    <w:rPr>
      <w:rFonts w:hint="default" w:ascii="Times New Roman" w:hAnsi="Times New Roman" w:eastAsia="Times New Roman" w:cs="Times New Roman"/>
    </w:rPr>
  </w:style>
  <w:style w:type="paragraph" w:customStyle="1" w:styleId="69">
    <w:name w:val="B3"/>
    <w:basedOn w:val="8"/>
    <w:link w:val="68"/>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0">
    <w:name w:val="B4 Char"/>
    <w:basedOn w:val="24"/>
    <w:link w:val="71"/>
    <w:qFormat/>
    <w:uiPriority w:val="0"/>
    <w:rPr>
      <w:rFonts w:hint="default" w:ascii="Times New Roman" w:hAnsi="Times New Roman" w:eastAsia="Times New Roman" w:cs="Times New Roman"/>
    </w:rPr>
  </w:style>
  <w:style w:type="paragraph" w:customStyle="1" w:styleId="71">
    <w:name w:val="B4"/>
    <w:basedOn w:val="18"/>
    <w:link w:val="70"/>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2">
    <w:name w:val="B2"/>
    <w:basedOn w:val="9"/>
    <w:link w:val="73"/>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3">
    <w:name w:val="B2 Char"/>
    <w:basedOn w:val="24"/>
    <w:link w:val="72"/>
    <w:qFormat/>
    <w:uiPriority w:val="0"/>
    <w:rPr>
      <w:rFonts w:hint="default" w:ascii="Times New Roman" w:hAnsi="Times New Roman" w:eastAsia="Times New Roman" w:cs="Times New Roman"/>
    </w:rPr>
  </w:style>
  <w:style w:type="paragraph" w:customStyle="1" w:styleId="74">
    <w:name w:val="B5"/>
    <w:basedOn w:val="17"/>
    <w:qFormat/>
    <w:uiPriority w:val="0"/>
    <w:pPr>
      <w:ind w:hanging="284"/>
    </w:pPr>
  </w:style>
  <w:style w:type="character" w:customStyle="1" w:styleId="75">
    <w:name w:val="批注文字 字符"/>
    <w:basedOn w:val="24"/>
    <w:link w:val="11"/>
    <w:qFormat/>
    <w:uiPriority w:val="0"/>
    <w:rPr>
      <w:rFonts w:hint="default" w:ascii="Times New Roman" w:hAnsi="Times New Roman" w:eastAsia="Times New Roman" w:cs="Times New Roman"/>
      <w:lang w:val="en-US"/>
    </w:rPr>
  </w:style>
  <w:style w:type="character" w:customStyle="1" w:styleId="76">
    <w:name w:val="B5 Char"/>
    <w:basedOn w:val="24"/>
    <w:qFormat/>
    <w:uiPriority w:val="0"/>
    <w:rPr>
      <w:rFonts w:hint="default" w:ascii="Times New Roman" w:hAnsi="Times New Roman" w:eastAsia="Times New Roman" w:cs="Times New Roman"/>
      <w:lang w:val="en-US"/>
    </w:rPr>
  </w:style>
  <w:style w:type="paragraph" w:customStyle="1" w:styleId="77">
    <w:name w:val="B1"/>
    <w:basedOn w:val="10"/>
    <w:link w:val="80"/>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8">
    <w:name w:val="B3 Char2"/>
    <w:basedOn w:val="24"/>
    <w:qFormat/>
    <w:uiPriority w:val="0"/>
    <w:rPr>
      <w:rFonts w:hint="default" w:ascii="Times New Roman" w:hAnsi="Times New Roman" w:eastAsia="Times New Roman" w:cs="Times New Roman"/>
      <w:lang w:val="en-US"/>
    </w:rPr>
  </w:style>
  <w:style w:type="character" w:customStyle="1" w:styleId="79">
    <w:name w:val="标题 5 字符"/>
    <w:basedOn w:val="24"/>
    <w:link w:val="6"/>
    <w:qFormat/>
    <w:uiPriority w:val="0"/>
    <w:rPr>
      <w:rFonts w:hint="default" w:ascii="Arial" w:hAnsi="Arial" w:eastAsia="Times New Roman" w:cs="Arial"/>
      <w:sz w:val="22"/>
      <w:lang w:val="en-US"/>
    </w:rPr>
  </w:style>
  <w:style w:type="character" w:customStyle="1" w:styleId="80">
    <w:name w:val="B1 Char1"/>
    <w:basedOn w:val="24"/>
    <w:link w:val="77"/>
    <w:qFormat/>
    <w:uiPriority w:val="0"/>
    <w:rPr>
      <w:rFonts w:hint="default" w:ascii="Times New Roman" w:hAnsi="Times New Roman" w:eastAsia="Times New Roman" w:cs="Times New Roman"/>
      <w:lang w:val="en-US"/>
    </w:rPr>
  </w:style>
  <w:style w:type="character" w:customStyle="1" w:styleId="81">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2">
    <w:name w:val="TAH"/>
    <w:basedOn w:val="83"/>
    <w:qFormat/>
    <w:uiPriority w:val="0"/>
    <w:rPr>
      <w:b/>
    </w:rPr>
  </w:style>
  <w:style w:type="paragraph" w:customStyle="1" w:styleId="83">
    <w:name w:val="TAC"/>
    <w:basedOn w:val="84"/>
    <w:qFormat/>
    <w:uiPriority w:val="0"/>
    <w:pPr>
      <w:jc w:val="center"/>
    </w:pPr>
  </w:style>
  <w:style w:type="paragraph" w:customStyle="1" w:styleId="84">
    <w:name w:val="TAL"/>
    <w:basedOn w:val="1"/>
    <w:qFormat/>
    <w:uiPriority w:val="0"/>
    <w:pPr>
      <w:keepNext/>
      <w:keepLines/>
    </w:pPr>
    <w:rPr>
      <w:rFonts w:ascii="Arial" w:hAnsi="Arial"/>
      <w:sz w:val="18"/>
    </w:rPr>
  </w:style>
  <w:style w:type="paragraph" w:customStyle="1" w:styleId="85">
    <w:name w:val="TAR"/>
    <w:basedOn w:val="84"/>
    <w:qFormat/>
    <w:uiPriority w:val="0"/>
    <w:pPr>
      <w:jc w:val="right"/>
    </w:pPr>
  </w:style>
  <w:style w:type="paragraph" w:customStyle="1" w:styleId="8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7">
    <w:name w:val="NO"/>
    <w:basedOn w:val="1"/>
    <w:qFormat/>
    <w:uiPriority w:val="0"/>
    <w:pPr>
      <w:keepLines/>
      <w:ind w:left="1135" w:hanging="851"/>
    </w:pPr>
  </w:style>
  <w:style w:type="paragraph" w:customStyle="1" w:styleId="88">
    <w:name w:val="B6"/>
    <w:basedOn w:val="74"/>
    <w:qFormat/>
    <w:uiPriority w:val="0"/>
    <w:pPr>
      <w:ind w:left="1985"/>
    </w:pPr>
  </w:style>
  <w:style w:type="paragraph" w:customStyle="1" w:styleId="89">
    <w:name w:val="B7"/>
    <w:basedOn w:val="88"/>
    <w:qFormat/>
    <w:uiPriority w:val="0"/>
    <w:pPr>
      <w:ind w:left="2269"/>
    </w:pPr>
  </w:style>
  <w:style w:type="character" w:customStyle="1" w:styleId="90">
    <w:name w:val="标题 4 字符1"/>
    <w:basedOn w:val="24"/>
    <w:qFormat/>
    <w:uiPriority w:val="0"/>
    <w:rPr>
      <w:rFonts w:hint="default" w:ascii="Arial" w:hAnsi="Arial" w:eastAsia="Times New Roman" w:cs="Arial"/>
      <w:sz w:val="24"/>
      <w:lang w:val="en-US"/>
    </w:rPr>
  </w:style>
  <w:style w:type="character" w:customStyle="1" w:styleId="91">
    <w:name w:val="标题 3 字符"/>
    <w:basedOn w:val="24"/>
    <w:link w:val="4"/>
    <w:qFormat/>
    <w:uiPriority w:val="0"/>
    <w:rPr>
      <w:rFonts w:hint="default" w:ascii="Times New Roman" w:hAnsi="Times New Roman" w:eastAsia="Times New Roman" w:cs="Times New Roman"/>
      <w:b/>
      <w:bCs/>
      <w:sz w:val="32"/>
      <w:szCs w:val="32"/>
      <w:lang w:val="en-US"/>
    </w:rPr>
  </w:style>
  <w:style w:type="character" w:customStyle="1" w:styleId="92">
    <w:name w:val="TAL Car"/>
    <w:basedOn w:val="24"/>
    <w:qFormat/>
    <w:uiPriority w:val="0"/>
    <w:rPr>
      <w:rFonts w:hint="default" w:ascii="Arial" w:hAnsi="Arial" w:eastAsia="Times New Roman" w:cs="Arial"/>
      <w:sz w:val="18"/>
      <w:lang w:val="en-US"/>
    </w:rPr>
  </w:style>
  <w:style w:type="character" w:customStyle="1" w:styleId="93">
    <w:name w:val="PL Char"/>
    <w:basedOn w:val="24"/>
    <w:qFormat/>
    <w:uiPriority w:val="0"/>
    <w:rPr>
      <w:rFonts w:ascii="Courier New" w:hAnsi="Courier New" w:eastAsia="Times New Roman" w:cs="Courier New"/>
      <w:sz w:val="16"/>
      <w:shd w:val="clear" w:color="auto" w:fill="E6E6E6"/>
      <w:lang w:val="en-US" w:eastAsia="en-US"/>
    </w:rPr>
  </w:style>
  <w:style w:type="character" w:customStyle="1" w:styleId="94">
    <w:name w:val="标题 4 字符2"/>
    <w:basedOn w:val="24"/>
    <w:qFormat/>
    <w:uiPriority w:val="0"/>
    <w:rPr>
      <w:rFonts w:hint="default" w:ascii="Arial" w:hAnsi="Arial" w:eastAsia="Times New Roman" w:cs="Arial"/>
      <w:sz w:val="24"/>
      <w:lang w:val="en-US"/>
    </w:rPr>
  </w:style>
  <w:style w:type="character" w:customStyle="1" w:styleId="95">
    <w:name w:val="TAH Car"/>
    <w:basedOn w:val="24"/>
    <w:qFormat/>
    <w:uiPriority w:val="0"/>
    <w:rPr>
      <w:rFonts w:hint="default" w:ascii="Arial" w:hAnsi="Arial" w:eastAsia="Times New Roman" w:cs="Arial"/>
      <w:b/>
      <w:sz w:val="18"/>
      <w:lang w:val="en-US"/>
    </w:rPr>
  </w:style>
  <w:style w:type="character" w:customStyle="1" w:styleId="96">
    <w:name w:val="TH Char"/>
    <w:basedOn w:val="24"/>
    <w:qFormat/>
    <w:uiPriority w:val="0"/>
    <w:rPr>
      <w:rFonts w:hint="default" w:ascii="Arial" w:hAnsi="Arial" w:eastAsia="Times New Roman" w:cs="Arial"/>
      <w:b/>
      <w:lang w:val="en-US"/>
    </w:rPr>
  </w:style>
  <w:style w:type="character" w:customStyle="1" w:styleId="97">
    <w:name w:val="Doc-text2 Char"/>
    <w:link w:val="58"/>
    <w:qFormat/>
    <w:uiPriority w:val="0"/>
    <w:rPr>
      <w:rFonts w:eastAsia="Times New Roman"/>
      <w:kern w:val="2"/>
    </w:rPr>
  </w:style>
  <w:style w:type="table" w:customStyle="1" w:styleId="98">
    <w:name w:val="网格型1"/>
    <w:basedOn w:val="22"/>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1B872-9D8E-46DF-A431-ED50B90DA78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1782</Words>
  <Characters>10158</Characters>
  <Lines>84</Lines>
  <Paragraphs>23</Paragraphs>
  <TotalTime>1</TotalTime>
  <ScaleCrop>false</ScaleCrop>
  <LinksUpToDate>false</LinksUpToDate>
  <CharactersWithSpaces>11917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2024-08-09T06:28:19Z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5755C00115744FB5A3A66245AFEFD55D</vt:lpwstr>
  </property>
</Properties>
</file>